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charts/chart33.xml" ContentType="application/vnd.openxmlformats-officedocument.drawingml.chart+xml"/>
  <Override PartName="/word/charts/chart34.xml" ContentType="application/vnd.openxmlformats-officedocument.drawingml.chart+xml"/>
  <Override PartName="/word/charts/chart35.xml" ContentType="application/vnd.openxmlformats-officedocument.drawingml.chart+xml"/>
  <Override PartName="/word/charts/chart36.xml" ContentType="application/vnd.openxmlformats-officedocument.drawingml.chart+xml"/>
  <Override PartName="/word/charts/chart37.xml" ContentType="application/vnd.openxmlformats-officedocument.drawingml.chart+xml"/>
  <Override PartName="/word/charts/chart38.xml" ContentType="application/vnd.openxmlformats-officedocument.drawingml.chart+xml"/>
  <Override PartName="/word/charts/chart39.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00C" w:rsidRPr="002464DF" w:rsidRDefault="002464DF" w:rsidP="002464DF">
      <w:pPr>
        <w:pStyle w:val="Heading2"/>
      </w:pPr>
      <w:r w:rsidRPr="002464DF">
        <w:t>Results agronomy trials Kenya short rains 2011</w:t>
      </w:r>
    </w:p>
    <w:p w:rsidR="002464DF" w:rsidRDefault="002464DF" w:rsidP="00544CED">
      <w:pPr>
        <w:pStyle w:val="NoSpacing"/>
      </w:pPr>
    </w:p>
    <w:p w:rsidR="008A3C37" w:rsidRDefault="008A3C37" w:rsidP="00544CED">
      <w:pPr>
        <w:pStyle w:val="NoSpacing"/>
        <w:rPr>
          <w:b/>
          <w:i/>
        </w:rPr>
      </w:pPr>
      <w:r w:rsidRPr="00B90060">
        <w:rPr>
          <w:b/>
          <w:i/>
        </w:rPr>
        <w:t>General</w:t>
      </w:r>
      <w:r w:rsidR="001A56B4" w:rsidRPr="00B90060">
        <w:rPr>
          <w:b/>
          <w:i/>
        </w:rPr>
        <w:t xml:space="preserve"> </w:t>
      </w:r>
      <w:r w:rsidR="00D620D5" w:rsidRPr="00B90060">
        <w:rPr>
          <w:b/>
          <w:i/>
        </w:rPr>
        <w:t>comments</w:t>
      </w:r>
    </w:p>
    <w:p w:rsidR="00B90060" w:rsidRPr="00B90060" w:rsidRDefault="00B90060" w:rsidP="00544CED">
      <w:pPr>
        <w:pStyle w:val="NoSpacing"/>
        <w:rPr>
          <w:b/>
          <w:i/>
        </w:rPr>
      </w:pPr>
    </w:p>
    <w:p w:rsidR="00D620D5" w:rsidRDefault="00D620D5" w:rsidP="00D620D5">
      <w:pPr>
        <w:pStyle w:val="ListParagraph"/>
        <w:numPr>
          <w:ilvl w:val="0"/>
          <w:numId w:val="2"/>
        </w:numPr>
        <w:spacing w:after="0"/>
      </w:pPr>
      <w:r w:rsidRPr="00D620D5">
        <w:t xml:space="preserve">1 </w:t>
      </w:r>
      <w:r>
        <w:t>climbing</w:t>
      </w:r>
      <w:r w:rsidRPr="00D620D5">
        <w:t xml:space="preserve"> beans input trial (variety:</w:t>
      </w:r>
      <w:r w:rsidR="006B4F6A">
        <w:t xml:space="preserve"> Kenya </w:t>
      </w:r>
      <w:proofErr w:type="spellStart"/>
      <w:r w:rsidR="006B4F6A">
        <w:t>Tamu</w:t>
      </w:r>
      <w:proofErr w:type="spellEnd"/>
      <w:r w:rsidRPr="00D620D5">
        <w:t>)</w:t>
      </w:r>
    </w:p>
    <w:p w:rsidR="00D620D5" w:rsidRDefault="00D620D5" w:rsidP="00D620D5">
      <w:pPr>
        <w:pStyle w:val="ListParagraph"/>
        <w:numPr>
          <w:ilvl w:val="0"/>
          <w:numId w:val="2"/>
        </w:numPr>
        <w:spacing w:after="0"/>
      </w:pPr>
      <w:r w:rsidRPr="00D620D5">
        <w:t xml:space="preserve">2 </w:t>
      </w:r>
      <w:r>
        <w:t>soybean</w:t>
      </w:r>
      <w:r w:rsidRPr="00D620D5">
        <w:t xml:space="preserve"> input trials (variety:</w:t>
      </w:r>
      <w:r w:rsidR="006B4F6A">
        <w:t xml:space="preserve"> SB19</w:t>
      </w:r>
      <w:r w:rsidRPr="00D620D5">
        <w:t>)</w:t>
      </w:r>
    </w:p>
    <w:p w:rsidR="00D620D5" w:rsidRPr="00D620D5" w:rsidRDefault="00D620D5" w:rsidP="00D620D5">
      <w:pPr>
        <w:pStyle w:val="ListParagraph"/>
        <w:numPr>
          <w:ilvl w:val="0"/>
          <w:numId w:val="2"/>
        </w:numPr>
        <w:spacing w:after="0"/>
      </w:pPr>
      <w:r>
        <w:t xml:space="preserve">1 climbing bean variety trial (blanket application of </w:t>
      </w:r>
      <w:r w:rsidR="006B4F6A">
        <w:t>TSP/</w:t>
      </w:r>
      <w:proofErr w:type="spellStart"/>
      <w:r w:rsidR="006B4F6A">
        <w:t>KCl</w:t>
      </w:r>
      <w:proofErr w:type="spellEnd"/>
      <w:r>
        <w:t>)</w:t>
      </w:r>
    </w:p>
    <w:p w:rsidR="00D620D5" w:rsidRPr="00D620D5" w:rsidRDefault="00D620D5" w:rsidP="00D620D5">
      <w:pPr>
        <w:pStyle w:val="ListParagraph"/>
        <w:numPr>
          <w:ilvl w:val="0"/>
          <w:numId w:val="2"/>
        </w:numPr>
        <w:spacing w:after="0"/>
      </w:pPr>
      <w:r>
        <w:t>1 bush bean variety trial</w:t>
      </w:r>
      <w:r w:rsidR="006B4F6A">
        <w:t xml:space="preserve"> (blanket application of TSP/</w:t>
      </w:r>
      <w:proofErr w:type="spellStart"/>
      <w:r w:rsidR="006B4F6A">
        <w:t>KCl</w:t>
      </w:r>
      <w:proofErr w:type="spellEnd"/>
      <w:r w:rsidR="006B4F6A">
        <w:t>)</w:t>
      </w:r>
    </w:p>
    <w:p w:rsidR="00D620D5" w:rsidRDefault="00D620D5" w:rsidP="00D620D5">
      <w:pPr>
        <w:pStyle w:val="ListParagraph"/>
        <w:numPr>
          <w:ilvl w:val="0"/>
          <w:numId w:val="2"/>
        </w:numPr>
        <w:spacing w:after="0"/>
      </w:pPr>
      <w:r>
        <w:t>1 soybean variety trial</w:t>
      </w:r>
      <w:r w:rsidR="006B4F6A">
        <w:t xml:space="preserve"> (blanket application of TSP/</w:t>
      </w:r>
      <w:proofErr w:type="spellStart"/>
      <w:r w:rsidR="006B4F6A">
        <w:t>KCl</w:t>
      </w:r>
      <w:proofErr w:type="spellEnd"/>
      <w:r w:rsidR="006B4F6A">
        <w:t>)</w:t>
      </w:r>
    </w:p>
    <w:p w:rsidR="00D620D5" w:rsidRPr="00D620D5" w:rsidRDefault="00D620D5" w:rsidP="00D620D5">
      <w:pPr>
        <w:pStyle w:val="ListParagraph"/>
        <w:numPr>
          <w:ilvl w:val="0"/>
          <w:numId w:val="2"/>
        </w:numPr>
      </w:pPr>
      <w:r>
        <w:t>3</w:t>
      </w:r>
      <w:r w:rsidRPr="00D620D5">
        <w:t xml:space="preserve"> soybean </w:t>
      </w:r>
      <w:r>
        <w:t xml:space="preserve">rust evaluations </w:t>
      </w:r>
      <w:r w:rsidRPr="00D620D5">
        <w:t xml:space="preserve">(blanket application of </w:t>
      </w:r>
      <w:r w:rsidR="006B4F6A">
        <w:t>TSP/</w:t>
      </w:r>
      <w:proofErr w:type="spellStart"/>
      <w:r w:rsidR="006B4F6A">
        <w:t>KCl</w:t>
      </w:r>
      <w:proofErr w:type="spellEnd"/>
      <w:r w:rsidR="006B4F6A">
        <w:t>/Urea and inoculation</w:t>
      </w:r>
      <w:r w:rsidRPr="00D620D5">
        <w:t>)</w:t>
      </w:r>
    </w:p>
    <w:p w:rsidR="00C70132" w:rsidRPr="00C70132" w:rsidRDefault="00C70132" w:rsidP="00C70132">
      <w:pPr>
        <w:pStyle w:val="NoSpacing"/>
        <w:rPr>
          <w:i/>
        </w:rPr>
      </w:pPr>
      <w:r w:rsidRPr="00C70132">
        <w:rPr>
          <w:i/>
        </w:rPr>
        <w:t>Climbing bean</w:t>
      </w:r>
    </w:p>
    <w:p w:rsidR="00C70132" w:rsidRDefault="00C70132" w:rsidP="00C70132">
      <w:pPr>
        <w:pStyle w:val="NoSpacing"/>
      </w:pPr>
      <w:r>
        <w:t xml:space="preserve">Grain yields </w:t>
      </w:r>
      <w:r w:rsidR="001A56B4">
        <w:t xml:space="preserve">in the climbing bean input trial were quite low </w:t>
      </w:r>
      <w:r>
        <w:t xml:space="preserve">for most plots, </w:t>
      </w:r>
      <w:r w:rsidR="001A56B4">
        <w:t>on average only 650 kg/ha. F</w:t>
      </w:r>
      <w:r>
        <w:t xml:space="preserve">ertilizer inputs </w:t>
      </w:r>
      <w:r w:rsidR="001A56B4">
        <w:t xml:space="preserve">generally </w:t>
      </w:r>
      <w:r>
        <w:t>improved yields</w:t>
      </w:r>
      <w:r w:rsidR="001A56B4">
        <w:t>, o</w:t>
      </w:r>
      <w:r>
        <w:t>nly the application of rock phosphate was less effective. Grain yields did not benefit from inoculation,</w:t>
      </w:r>
      <w:r w:rsidR="001A56B4">
        <w:t xml:space="preserve"> with or without the addition of lime.</w:t>
      </w:r>
      <w:r>
        <w:t xml:space="preserve"> Only in the treatment with DAP, grain yields increased from 600 to 800 with inoculation and lime.</w:t>
      </w:r>
      <w:r w:rsidR="00B90060">
        <w:t xml:space="preserve"> </w:t>
      </w:r>
      <w:r w:rsidR="001A56B4">
        <w:t>In the variety trial, v</w:t>
      </w:r>
      <w:r>
        <w:t xml:space="preserve">arieties RWV 51348 and </w:t>
      </w:r>
      <w:proofErr w:type="spellStart"/>
      <w:r>
        <w:t>Umubano</w:t>
      </w:r>
      <w:proofErr w:type="spellEnd"/>
      <w:r>
        <w:t xml:space="preserve"> had the highest average grain yields, with and without inoculation</w:t>
      </w:r>
      <w:r w:rsidR="001A56B4">
        <w:t>. V</w:t>
      </w:r>
      <w:r>
        <w:t xml:space="preserve">ariety Kenya </w:t>
      </w:r>
      <w:proofErr w:type="spellStart"/>
      <w:r>
        <w:t>Tamu</w:t>
      </w:r>
      <w:proofErr w:type="spellEnd"/>
      <w:r>
        <w:t xml:space="preserve"> </w:t>
      </w:r>
      <w:r w:rsidR="001A56B4">
        <w:t xml:space="preserve">also achieved high yields with application of </w:t>
      </w:r>
      <w:r>
        <w:t xml:space="preserve">urea. In general, both grain and </w:t>
      </w:r>
      <w:proofErr w:type="spellStart"/>
      <w:r>
        <w:t>stover</w:t>
      </w:r>
      <w:proofErr w:type="spellEnd"/>
      <w:r>
        <w:t xml:space="preserve"> yields did not </w:t>
      </w:r>
      <w:r w:rsidR="001A56B4">
        <w:t>show a response to inoculation.</w:t>
      </w:r>
    </w:p>
    <w:p w:rsidR="00C70132" w:rsidRDefault="00C70132" w:rsidP="00C70132">
      <w:pPr>
        <w:pStyle w:val="NoSpacing"/>
      </w:pPr>
    </w:p>
    <w:p w:rsidR="00B90060" w:rsidRPr="00B90060" w:rsidRDefault="00B90060" w:rsidP="00B90060">
      <w:pPr>
        <w:pStyle w:val="NoSpacing"/>
        <w:rPr>
          <w:i/>
        </w:rPr>
      </w:pPr>
      <w:r w:rsidRPr="00B90060">
        <w:rPr>
          <w:i/>
        </w:rPr>
        <w:t>Bush bean</w:t>
      </w:r>
    </w:p>
    <w:p w:rsidR="00B90060" w:rsidRDefault="00B90060" w:rsidP="00B90060">
      <w:pPr>
        <w:pStyle w:val="NoSpacing"/>
      </w:pPr>
      <w:r w:rsidRPr="00B90060">
        <w:t xml:space="preserve">Bush bean varieties </w:t>
      </w:r>
      <w:proofErr w:type="spellStart"/>
      <w:r w:rsidRPr="00B90060">
        <w:t>Okwodho</w:t>
      </w:r>
      <w:proofErr w:type="spellEnd"/>
      <w:r w:rsidRPr="00B90060">
        <w:t xml:space="preserve">, Kenya </w:t>
      </w:r>
      <w:proofErr w:type="spellStart"/>
      <w:r w:rsidRPr="00B90060">
        <w:t>Umoja</w:t>
      </w:r>
      <w:proofErr w:type="spellEnd"/>
      <w:r w:rsidRPr="00B90060">
        <w:t xml:space="preserve"> and KK15 had the highest grain and </w:t>
      </w:r>
      <w:proofErr w:type="spellStart"/>
      <w:r w:rsidRPr="00B90060">
        <w:t>stover</w:t>
      </w:r>
      <w:proofErr w:type="spellEnd"/>
      <w:r w:rsidRPr="00B90060">
        <w:t xml:space="preserve"> yields. Most of the varieties did not show a clear response to inoculation; only variety KK8 did. Kenya </w:t>
      </w:r>
      <w:proofErr w:type="spellStart"/>
      <w:r w:rsidRPr="00B90060">
        <w:t>Umoja</w:t>
      </w:r>
      <w:proofErr w:type="spellEnd"/>
      <w:r w:rsidRPr="00B90060">
        <w:t xml:space="preserve"> did not benefit from inoculation, but grain yields increased considerably after application of urea. Varieties New </w:t>
      </w:r>
      <w:proofErr w:type="spellStart"/>
      <w:r w:rsidRPr="00B90060">
        <w:t>Roscoco</w:t>
      </w:r>
      <w:proofErr w:type="spellEnd"/>
      <w:r w:rsidRPr="00B90060">
        <w:t>, KK071 and KK072 all had very low yields.</w:t>
      </w:r>
      <w:r>
        <w:t xml:space="preserve"> </w:t>
      </w:r>
    </w:p>
    <w:p w:rsidR="00B90060" w:rsidRDefault="00B90060" w:rsidP="00C70132">
      <w:pPr>
        <w:pStyle w:val="NoSpacing"/>
      </w:pPr>
    </w:p>
    <w:p w:rsidR="00C70132" w:rsidRPr="001A56B4" w:rsidRDefault="00C70132" w:rsidP="00C70132">
      <w:pPr>
        <w:pStyle w:val="NoSpacing"/>
        <w:rPr>
          <w:i/>
        </w:rPr>
      </w:pPr>
      <w:r w:rsidRPr="001A56B4">
        <w:rPr>
          <w:i/>
        </w:rPr>
        <w:t>Soybean</w:t>
      </w:r>
    </w:p>
    <w:p w:rsidR="001A56B4" w:rsidRPr="00B90060" w:rsidRDefault="001A56B4" w:rsidP="00543ACF">
      <w:pPr>
        <w:pStyle w:val="NoSpacing"/>
      </w:pPr>
      <w:r>
        <w:t xml:space="preserve">All fertilizer inputs enhanced </w:t>
      </w:r>
      <w:r w:rsidR="0027157E">
        <w:t xml:space="preserve">soybean </w:t>
      </w:r>
      <w:r>
        <w:t>grain yields</w:t>
      </w:r>
      <w:r w:rsidR="0027157E">
        <w:t xml:space="preserve"> compared to the control</w:t>
      </w:r>
      <w:r>
        <w:t xml:space="preserve">, </w:t>
      </w:r>
      <w:r w:rsidR="0027157E">
        <w:t xml:space="preserve">and there was not </w:t>
      </w:r>
      <w:r>
        <w:t xml:space="preserve">much difference between the different </w:t>
      </w:r>
      <w:r w:rsidR="0027157E">
        <w:t xml:space="preserve">fertilizer </w:t>
      </w:r>
      <w:r>
        <w:t xml:space="preserve">types. Grain yields for all treatments showed a </w:t>
      </w:r>
      <w:r w:rsidR="00543ACF">
        <w:t xml:space="preserve">(strong) </w:t>
      </w:r>
      <w:r>
        <w:t>response to inoculation, only the control did not benefit</w:t>
      </w:r>
      <w:r w:rsidR="00543ACF">
        <w:t xml:space="preserve"> in one of the two trials</w:t>
      </w:r>
      <w:r>
        <w:t xml:space="preserve">. The </w:t>
      </w:r>
      <w:r w:rsidR="00543ACF">
        <w:t xml:space="preserve">combination </w:t>
      </w:r>
      <w:r>
        <w:t xml:space="preserve">of lime </w:t>
      </w:r>
      <w:r w:rsidR="00543ACF">
        <w:t xml:space="preserve">and inoculation generally did not enhance yields much further, although in one of the trials </w:t>
      </w:r>
      <w:r>
        <w:t xml:space="preserve">the treatments with TSP and </w:t>
      </w:r>
      <w:proofErr w:type="spellStart"/>
      <w:r w:rsidRPr="00B90060">
        <w:t>Sympal</w:t>
      </w:r>
      <w:proofErr w:type="spellEnd"/>
      <w:r w:rsidR="00543ACF" w:rsidRPr="00B90060">
        <w:t xml:space="preserve"> seemed to benefit from the addition of lime. </w:t>
      </w:r>
      <w:r w:rsidRPr="00B90060">
        <w:t>The latter two achieved grain yields of about 1250 kg/ha, compared to 600 to 8</w:t>
      </w:r>
      <w:bookmarkStart w:id="0" w:name="_GoBack"/>
      <w:bookmarkEnd w:id="0"/>
      <w:r w:rsidRPr="00B90060">
        <w:t>00 kg in the treatments without fertilizer.</w:t>
      </w:r>
      <w:r w:rsidR="00B90060">
        <w:t xml:space="preserve"> </w:t>
      </w:r>
      <w:r w:rsidR="00543ACF" w:rsidRPr="00B90060">
        <w:t xml:space="preserve">Also in the variety trial, all soybean varieties responded well to inoculation, except </w:t>
      </w:r>
      <w:r w:rsidRPr="00B90060">
        <w:t>variety EAI3600</w:t>
      </w:r>
      <w:r w:rsidR="00543ACF" w:rsidRPr="00B90060">
        <w:t>. A comparison with application of urea to variety SB19 showed that</w:t>
      </w:r>
      <w:r w:rsidRPr="00B90060">
        <w:t xml:space="preserve"> grain yields </w:t>
      </w:r>
      <w:r w:rsidR="00543ACF" w:rsidRPr="00B90060">
        <w:t>were lower than when inoculants were applied.</w:t>
      </w:r>
    </w:p>
    <w:p w:rsidR="001A56B4" w:rsidRPr="00B90060" w:rsidRDefault="001A56B4" w:rsidP="001A56B4">
      <w:pPr>
        <w:pStyle w:val="NoSpacing"/>
      </w:pPr>
    </w:p>
    <w:p w:rsidR="00B90060" w:rsidRPr="00B90060" w:rsidRDefault="00AB7529" w:rsidP="001A56B4">
      <w:pPr>
        <w:pStyle w:val="NoSpacing"/>
      </w:pPr>
      <w:r w:rsidRPr="00B90060">
        <w:t xml:space="preserve">Evaluations of soybean rust showed that varieties </w:t>
      </w:r>
      <w:proofErr w:type="spellStart"/>
      <w:r w:rsidR="001A56B4" w:rsidRPr="00B90060">
        <w:t>Maksoy</w:t>
      </w:r>
      <w:proofErr w:type="spellEnd"/>
      <w:r w:rsidR="001A56B4" w:rsidRPr="00B90060">
        <w:t xml:space="preserve">, </w:t>
      </w:r>
      <w:proofErr w:type="spellStart"/>
      <w:r w:rsidR="001A56B4" w:rsidRPr="00B90060">
        <w:t>Namsoy</w:t>
      </w:r>
      <w:proofErr w:type="spellEnd"/>
      <w:r w:rsidR="001A56B4" w:rsidRPr="00B90060">
        <w:t xml:space="preserve"> and SB19</w:t>
      </w:r>
      <w:r w:rsidRPr="00B90060">
        <w:t xml:space="preserve"> had high rust scores in most trials</w:t>
      </w:r>
      <w:r w:rsidR="001A56B4" w:rsidRPr="00B90060">
        <w:t xml:space="preserve">. </w:t>
      </w:r>
      <w:r w:rsidRPr="00B90060">
        <w:t>E</w:t>
      </w:r>
      <w:r w:rsidR="001A56B4" w:rsidRPr="00B90060">
        <w:t xml:space="preserve">ven after spraying, their rust score was relatively high, which indicates a high susceptibility to rust. </w:t>
      </w:r>
      <w:r w:rsidRPr="00B90060">
        <w:t xml:space="preserve">The other varieties had considerably lower scores, even without spraying. </w:t>
      </w:r>
      <w:r w:rsidR="00B90060" w:rsidRPr="00B90060">
        <w:t>The varie</w:t>
      </w:r>
      <w:r w:rsidR="00B90060" w:rsidRPr="00B90060">
        <w:t>ties with high rust scores benefitted from spraying in terms of grain yield. Varieties with lower rust scores generally also benefitted less. The average g</w:t>
      </w:r>
      <w:r w:rsidR="001A56B4" w:rsidRPr="00B90060">
        <w:t xml:space="preserve">rain and </w:t>
      </w:r>
      <w:proofErr w:type="spellStart"/>
      <w:r w:rsidR="001A56B4" w:rsidRPr="00B90060">
        <w:t>stover</w:t>
      </w:r>
      <w:proofErr w:type="spellEnd"/>
      <w:r w:rsidR="001A56B4" w:rsidRPr="00B90060">
        <w:t xml:space="preserve"> yields </w:t>
      </w:r>
      <w:r w:rsidR="00B90060" w:rsidRPr="00B90060">
        <w:t xml:space="preserve">for the soybean varieties varied largely between the trials. Varieties </w:t>
      </w:r>
      <w:proofErr w:type="spellStart"/>
      <w:r w:rsidR="00B90060" w:rsidRPr="00B90060">
        <w:t>Nyala</w:t>
      </w:r>
      <w:proofErr w:type="spellEnd"/>
      <w:r w:rsidR="00B90060" w:rsidRPr="00B90060">
        <w:t xml:space="preserve">, </w:t>
      </w:r>
      <w:r w:rsidR="00B90060" w:rsidRPr="00B90060">
        <w:t>S823-6-16</w:t>
      </w:r>
      <w:r w:rsidR="00B90060" w:rsidRPr="00B90060">
        <w:t xml:space="preserve">, </w:t>
      </w:r>
      <w:r w:rsidR="00B90060" w:rsidRPr="00B90060">
        <w:t>Sequel and Squire</w:t>
      </w:r>
      <w:r w:rsidR="00B90060" w:rsidRPr="00B90060">
        <w:t xml:space="preserve"> all performed well in one of the trials. </w:t>
      </w:r>
      <w:r w:rsidR="00B90060" w:rsidRPr="00B90060">
        <w:t xml:space="preserve">Most plots were harvested late January, but some also late February. Generally, this had a negative impact on grain yield, with yields in January being </w:t>
      </w:r>
      <w:r w:rsidR="00B90060" w:rsidRPr="00B90060">
        <w:t xml:space="preserve">up to </w:t>
      </w:r>
      <w:r w:rsidR="00B90060" w:rsidRPr="00B90060">
        <w:t xml:space="preserve">twice </w:t>
      </w:r>
      <w:r w:rsidR="00B90060" w:rsidRPr="00B90060">
        <w:t xml:space="preserve">or </w:t>
      </w:r>
      <w:r w:rsidR="00B90060" w:rsidRPr="00B90060">
        <w:t>four times as high as yields from February.</w:t>
      </w:r>
    </w:p>
    <w:p w:rsidR="00B90060" w:rsidRDefault="00B90060">
      <w:pPr>
        <w:rPr>
          <w:rFonts w:ascii="Verdana" w:hAnsi="Verdana"/>
          <w:b/>
          <w:i/>
          <w:sz w:val="17"/>
          <w:lang w:val="en-GB"/>
        </w:rPr>
      </w:pPr>
      <w:r>
        <w:rPr>
          <w:b/>
          <w:i/>
        </w:rPr>
        <w:br w:type="page"/>
      </w:r>
    </w:p>
    <w:p w:rsidR="002464DF" w:rsidRPr="00544CED" w:rsidRDefault="002464DF" w:rsidP="00544CED">
      <w:pPr>
        <w:pStyle w:val="NoSpacing"/>
        <w:rPr>
          <w:b/>
          <w:i/>
        </w:rPr>
      </w:pPr>
      <w:r w:rsidRPr="00544CED">
        <w:rPr>
          <w:b/>
          <w:i/>
        </w:rPr>
        <w:lastRenderedPageBreak/>
        <w:t>Climbing bean input trial</w:t>
      </w:r>
    </w:p>
    <w:p w:rsidR="002E4633" w:rsidRDefault="002E4633" w:rsidP="00544CED">
      <w:pPr>
        <w:pStyle w:val="NoSpacing"/>
      </w:pPr>
    </w:p>
    <w:p w:rsidR="00544CED" w:rsidRPr="00544CED" w:rsidRDefault="00544CED" w:rsidP="00544CED">
      <w:pPr>
        <w:pStyle w:val="NoSpacing"/>
      </w:pPr>
      <w:r w:rsidRPr="00544CED">
        <w:t xml:space="preserve">Location: </w:t>
      </w:r>
      <w:proofErr w:type="spellStart"/>
      <w:r w:rsidRPr="00544CED">
        <w:t>Migori</w:t>
      </w:r>
      <w:proofErr w:type="spellEnd"/>
    </w:p>
    <w:p w:rsidR="00544CED" w:rsidRPr="008A3C37" w:rsidRDefault="00544CED" w:rsidP="008A3C37">
      <w:pPr>
        <w:pStyle w:val="NoSpacing"/>
      </w:pPr>
      <w:r w:rsidRPr="00544CED">
        <w:t>GPS: E</w:t>
      </w:r>
      <w:r w:rsidR="0079660C" w:rsidRPr="008A3C37">
        <w:t xml:space="preserve"> 34.48219</w:t>
      </w:r>
      <w:r w:rsidRPr="00544CED">
        <w:t>; S</w:t>
      </w:r>
      <w:r w:rsidR="0079660C" w:rsidRPr="008A3C37">
        <w:t xml:space="preserve"> 0.953222</w:t>
      </w:r>
      <w:r w:rsidRPr="00544CED">
        <w:t>; Elevation: 1397 m</w:t>
      </w:r>
    </w:p>
    <w:p w:rsidR="00544CED" w:rsidRPr="00544CED" w:rsidRDefault="00544CED" w:rsidP="00544CED">
      <w:pPr>
        <w:pStyle w:val="NoSpacing"/>
      </w:pPr>
      <w:r w:rsidRPr="00544CED">
        <w:t>Planting date: 28-9-2011</w:t>
      </w:r>
    </w:p>
    <w:p w:rsidR="00544CED" w:rsidRPr="00544CED" w:rsidRDefault="00544CED" w:rsidP="00544CED">
      <w:pPr>
        <w:pStyle w:val="NoSpacing"/>
      </w:pPr>
      <w:r w:rsidRPr="00544CED">
        <w:t>Harvest date: 26-1-2012</w:t>
      </w:r>
    </w:p>
    <w:p w:rsidR="00544CED" w:rsidRPr="00544CED" w:rsidRDefault="00544CED" w:rsidP="00544CED">
      <w:pPr>
        <w:pStyle w:val="NoSpacing"/>
      </w:pPr>
      <w:r w:rsidRPr="00544CED">
        <w:t xml:space="preserve">Variety: Kenya </w:t>
      </w:r>
      <w:proofErr w:type="spellStart"/>
      <w:r w:rsidRPr="00544CED">
        <w:t>Tamu</w:t>
      </w:r>
      <w:proofErr w:type="spellEnd"/>
    </w:p>
    <w:p w:rsidR="00544CED" w:rsidRPr="00544CED" w:rsidRDefault="00544CED" w:rsidP="00544CED">
      <w:pPr>
        <w:pStyle w:val="NoSpacing"/>
      </w:pPr>
    </w:p>
    <w:p w:rsidR="00544CED" w:rsidRDefault="00544CED" w:rsidP="00544CED">
      <w:pPr>
        <w:pStyle w:val="NoSpacing"/>
      </w:pPr>
      <w:r w:rsidRPr="00544CED">
        <w:t>Remarks:</w:t>
      </w:r>
    </w:p>
    <w:p w:rsidR="001B6FEE" w:rsidRDefault="00035201" w:rsidP="006113BF">
      <w:pPr>
        <w:pStyle w:val="NoSpacing"/>
      </w:pPr>
      <w:r>
        <w:t>Germination on most plots was reasonable, between 70</w:t>
      </w:r>
      <w:r w:rsidR="0078435B">
        <w:t>%</w:t>
      </w:r>
      <w:r>
        <w:t xml:space="preserve"> and 95%. </w:t>
      </w:r>
      <w:r w:rsidR="0078435B">
        <w:t xml:space="preserve">Only on the plot with DAP without lime and with inoculation germination was only 58%. The treatments with </w:t>
      </w:r>
      <w:proofErr w:type="spellStart"/>
      <w:r>
        <w:t>Sympal</w:t>
      </w:r>
      <w:proofErr w:type="spellEnd"/>
      <w:r>
        <w:t xml:space="preserve"> </w:t>
      </w:r>
      <w:r w:rsidR="0078435B">
        <w:t>and MRP Dust had the highest average germination</w:t>
      </w:r>
      <w:r>
        <w:t xml:space="preserve">. </w:t>
      </w:r>
      <w:r w:rsidR="00633AED">
        <w:t xml:space="preserve">The average </w:t>
      </w:r>
      <w:r w:rsidR="00D97994">
        <w:t>nodule score (from 10 plants) was lowest for the</w:t>
      </w:r>
      <w:r w:rsidR="00C70132">
        <w:t xml:space="preserve"> control</w:t>
      </w:r>
      <w:r w:rsidR="00D97994">
        <w:t xml:space="preserve"> plots without fertilizer, and there is little difference between the treatments with and without inoculation. Application of lime</w:t>
      </w:r>
      <w:r w:rsidR="0078435B">
        <w:t xml:space="preserve"> and inoculants</w:t>
      </w:r>
      <w:r w:rsidR="00D97994">
        <w:t>, however, increased the nodule score. The climbing beans with MRP-Pallets and TSP/</w:t>
      </w:r>
      <w:proofErr w:type="spellStart"/>
      <w:r w:rsidR="00D97994">
        <w:t>KCl</w:t>
      </w:r>
      <w:proofErr w:type="spellEnd"/>
      <w:r w:rsidR="00D97994">
        <w:t xml:space="preserve"> had a higher nodule number when in</w:t>
      </w:r>
      <w:r w:rsidR="0078435B">
        <w:t>oculated, whereas the plots</w:t>
      </w:r>
      <w:r w:rsidR="00D97994">
        <w:t xml:space="preserve"> with DAP</w:t>
      </w:r>
      <w:r w:rsidR="0078435B">
        <w:t xml:space="preserve"> all had a relatively high nodule. </w:t>
      </w:r>
    </w:p>
    <w:p w:rsidR="006113BF" w:rsidRDefault="006113BF" w:rsidP="006113BF">
      <w:pPr>
        <w:pStyle w:val="NoSpacing"/>
      </w:pPr>
      <w:r>
        <w:t xml:space="preserve">Grain yields for most plots were quite low, but fertilizer inputs improved yields. Only the application of rock phosphate was less effective. Grain yields did </w:t>
      </w:r>
      <w:r w:rsidR="0078435B">
        <w:t xml:space="preserve">not </w:t>
      </w:r>
      <w:r>
        <w:t xml:space="preserve">benefit from inoculation only, </w:t>
      </w:r>
      <w:proofErr w:type="gramStart"/>
      <w:r>
        <w:t>nor</w:t>
      </w:r>
      <w:proofErr w:type="gramEnd"/>
      <w:r>
        <w:t xml:space="preserve"> from the combination with lime. Only in the treatment with DAP</w:t>
      </w:r>
      <w:r w:rsidR="0078435B">
        <w:t>,</w:t>
      </w:r>
      <w:r>
        <w:t xml:space="preserve"> grain yields increased from 600 to 800 with inoculation and lime.</w:t>
      </w:r>
      <w:r w:rsidR="002D7381">
        <w:t xml:space="preserve"> The same was found for </w:t>
      </w:r>
      <w:proofErr w:type="spellStart"/>
      <w:r w:rsidR="002D7381">
        <w:t>stover</w:t>
      </w:r>
      <w:proofErr w:type="spellEnd"/>
      <w:r w:rsidR="002D7381">
        <w:t xml:space="preserve"> yields: most inputs improved yields, but inoculation only had an effect </w:t>
      </w:r>
      <w:r w:rsidR="0078435B">
        <w:t>on</w:t>
      </w:r>
      <w:r w:rsidR="002D7381">
        <w:t xml:space="preserve"> the treatment with DAP and lime. </w:t>
      </w:r>
    </w:p>
    <w:p w:rsidR="00544CED" w:rsidRPr="00544CED" w:rsidRDefault="00544CED" w:rsidP="00544CED">
      <w:pPr>
        <w:pStyle w:val="NoSpacing"/>
      </w:pPr>
    </w:p>
    <w:p w:rsidR="00544CED" w:rsidRPr="00544CED" w:rsidRDefault="00544CED" w:rsidP="00544CED">
      <w:pPr>
        <w:pStyle w:val="NoSpacing"/>
      </w:pPr>
    </w:p>
    <w:p w:rsidR="001B6FEE" w:rsidRDefault="001B6FEE">
      <w:pPr>
        <w:rPr>
          <w:rFonts w:ascii="Verdana" w:hAnsi="Verdana"/>
          <w:i/>
          <w:sz w:val="17"/>
          <w:lang w:val="en-GB"/>
        </w:rPr>
      </w:pPr>
      <w:r>
        <w:rPr>
          <w:i/>
        </w:rPr>
        <w:br w:type="page"/>
      </w:r>
    </w:p>
    <w:p w:rsidR="002464DF" w:rsidRPr="00544CED" w:rsidRDefault="00544CED" w:rsidP="00544CED">
      <w:pPr>
        <w:pStyle w:val="NoSpacing"/>
        <w:rPr>
          <w:i/>
        </w:rPr>
      </w:pPr>
      <w:r>
        <w:rPr>
          <w:i/>
        </w:rPr>
        <w:lastRenderedPageBreak/>
        <w:t xml:space="preserve">Average </w:t>
      </w:r>
      <w:r w:rsidR="00633AED">
        <w:rPr>
          <w:i/>
        </w:rPr>
        <w:t>nodule score</w:t>
      </w:r>
    </w:p>
    <w:tbl>
      <w:tblPr>
        <w:tblW w:w="5000" w:type="pct"/>
        <w:tblBorders>
          <w:top w:val="single" w:sz="4" w:space="0" w:color="auto"/>
          <w:bottom w:val="single" w:sz="4" w:space="0" w:color="auto"/>
        </w:tblBorders>
        <w:tblLook w:val="04A0" w:firstRow="1" w:lastRow="0" w:firstColumn="1" w:lastColumn="0" w:noHBand="0" w:noVBand="1"/>
      </w:tblPr>
      <w:tblGrid>
        <w:gridCol w:w="1386"/>
        <w:gridCol w:w="916"/>
        <w:gridCol w:w="748"/>
        <w:gridCol w:w="660"/>
        <w:gridCol w:w="1139"/>
        <w:gridCol w:w="1394"/>
        <w:gridCol w:w="635"/>
        <w:gridCol w:w="933"/>
        <w:gridCol w:w="895"/>
        <w:gridCol w:w="916"/>
      </w:tblGrid>
      <w:tr w:rsidR="002464DF" w:rsidRPr="002464DF" w:rsidTr="00544CED">
        <w:trPr>
          <w:trHeight w:val="300"/>
        </w:trPr>
        <w:tc>
          <w:tcPr>
            <w:tcW w:w="720" w:type="pct"/>
            <w:tcBorders>
              <w:top w:val="single" w:sz="4" w:space="0" w:color="auto"/>
              <w:bottom w:val="single" w:sz="4" w:space="0" w:color="auto"/>
            </w:tcBorders>
            <w:vAlign w:val="bottom"/>
          </w:tcPr>
          <w:p w:rsidR="002464DF" w:rsidRPr="002464DF" w:rsidRDefault="002464DF" w:rsidP="000D000C">
            <w:pPr>
              <w:pStyle w:val="NoSpacing"/>
            </w:pPr>
          </w:p>
        </w:tc>
        <w:tc>
          <w:tcPr>
            <w:tcW w:w="476" w:type="pct"/>
            <w:tcBorders>
              <w:top w:val="single" w:sz="4" w:space="0" w:color="auto"/>
              <w:bottom w:val="single" w:sz="4" w:space="0" w:color="auto"/>
            </w:tcBorders>
            <w:shd w:val="clear" w:color="auto" w:fill="auto"/>
            <w:noWrap/>
            <w:vAlign w:val="bottom"/>
            <w:hideMark/>
          </w:tcPr>
          <w:p w:rsidR="002464DF" w:rsidRPr="002464DF" w:rsidRDefault="002464DF" w:rsidP="000D000C">
            <w:pPr>
              <w:pStyle w:val="NoSpacing"/>
            </w:pPr>
          </w:p>
        </w:tc>
        <w:tc>
          <w:tcPr>
            <w:tcW w:w="389" w:type="pct"/>
            <w:tcBorders>
              <w:top w:val="single" w:sz="4" w:space="0" w:color="auto"/>
              <w:bottom w:val="single" w:sz="4" w:space="0" w:color="auto"/>
            </w:tcBorders>
            <w:shd w:val="clear" w:color="auto" w:fill="auto"/>
            <w:noWrap/>
            <w:vAlign w:val="bottom"/>
            <w:hideMark/>
          </w:tcPr>
          <w:p w:rsidR="002464DF" w:rsidRPr="002464DF" w:rsidRDefault="002464DF" w:rsidP="000D000C">
            <w:pPr>
              <w:pStyle w:val="NoSpacing"/>
              <w:jc w:val="center"/>
            </w:pPr>
            <w:r>
              <w:t>None</w:t>
            </w:r>
          </w:p>
        </w:tc>
        <w:tc>
          <w:tcPr>
            <w:tcW w:w="343" w:type="pct"/>
            <w:tcBorders>
              <w:top w:val="single" w:sz="4" w:space="0" w:color="auto"/>
              <w:bottom w:val="single" w:sz="4" w:space="0" w:color="auto"/>
            </w:tcBorders>
            <w:shd w:val="clear" w:color="auto" w:fill="auto"/>
            <w:noWrap/>
            <w:vAlign w:val="bottom"/>
            <w:hideMark/>
          </w:tcPr>
          <w:p w:rsidR="002464DF" w:rsidRPr="002464DF" w:rsidRDefault="002464DF" w:rsidP="000D000C">
            <w:pPr>
              <w:pStyle w:val="NoSpacing"/>
              <w:jc w:val="center"/>
            </w:pPr>
            <w:r w:rsidRPr="002464DF">
              <w:t>DAP</w:t>
            </w:r>
          </w:p>
        </w:tc>
        <w:tc>
          <w:tcPr>
            <w:tcW w:w="592" w:type="pct"/>
            <w:tcBorders>
              <w:top w:val="single" w:sz="4" w:space="0" w:color="auto"/>
              <w:bottom w:val="single" w:sz="4" w:space="0" w:color="auto"/>
            </w:tcBorders>
            <w:shd w:val="clear" w:color="auto" w:fill="auto"/>
            <w:noWrap/>
            <w:vAlign w:val="bottom"/>
            <w:hideMark/>
          </w:tcPr>
          <w:p w:rsidR="002464DF" w:rsidRPr="002464DF" w:rsidRDefault="002464DF" w:rsidP="000D000C">
            <w:pPr>
              <w:pStyle w:val="NoSpacing"/>
              <w:jc w:val="center"/>
            </w:pPr>
            <w:r w:rsidRPr="002464DF">
              <w:t>MRP-DUST</w:t>
            </w:r>
          </w:p>
        </w:tc>
        <w:tc>
          <w:tcPr>
            <w:tcW w:w="724" w:type="pct"/>
            <w:tcBorders>
              <w:top w:val="single" w:sz="4" w:space="0" w:color="auto"/>
              <w:bottom w:val="single" w:sz="4" w:space="0" w:color="auto"/>
            </w:tcBorders>
            <w:shd w:val="clear" w:color="auto" w:fill="auto"/>
            <w:noWrap/>
            <w:vAlign w:val="bottom"/>
            <w:hideMark/>
          </w:tcPr>
          <w:p w:rsidR="002464DF" w:rsidRPr="002464DF" w:rsidRDefault="002464DF" w:rsidP="000D000C">
            <w:pPr>
              <w:pStyle w:val="NoSpacing"/>
              <w:jc w:val="center"/>
            </w:pPr>
            <w:r w:rsidRPr="002464DF">
              <w:t>MRP-PALLETS</w:t>
            </w:r>
          </w:p>
        </w:tc>
        <w:tc>
          <w:tcPr>
            <w:tcW w:w="330" w:type="pct"/>
            <w:tcBorders>
              <w:top w:val="single" w:sz="4" w:space="0" w:color="auto"/>
              <w:bottom w:val="single" w:sz="4" w:space="0" w:color="auto"/>
            </w:tcBorders>
            <w:shd w:val="clear" w:color="auto" w:fill="auto"/>
            <w:noWrap/>
            <w:vAlign w:val="bottom"/>
            <w:hideMark/>
          </w:tcPr>
          <w:p w:rsidR="002464DF" w:rsidRPr="002464DF" w:rsidRDefault="002464DF" w:rsidP="000D000C">
            <w:pPr>
              <w:pStyle w:val="NoSpacing"/>
              <w:jc w:val="center"/>
            </w:pPr>
            <w:r w:rsidRPr="002464DF">
              <w:t>TSP</w:t>
            </w:r>
          </w:p>
        </w:tc>
        <w:tc>
          <w:tcPr>
            <w:tcW w:w="485" w:type="pct"/>
            <w:tcBorders>
              <w:top w:val="single" w:sz="4" w:space="0" w:color="auto"/>
              <w:bottom w:val="single" w:sz="4" w:space="0" w:color="auto"/>
            </w:tcBorders>
            <w:shd w:val="clear" w:color="auto" w:fill="auto"/>
            <w:noWrap/>
            <w:vAlign w:val="bottom"/>
            <w:hideMark/>
          </w:tcPr>
          <w:p w:rsidR="002464DF" w:rsidRPr="002464DF" w:rsidRDefault="002464DF" w:rsidP="000D000C">
            <w:pPr>
              <w:pStyle w:val="NoSpacing"/>
              <w:jc w:val="center"/>
            </w:pPr>
            <w:r w:rsidRPr="002464DF">
              <w:t>TSP/</w:t>
            </w:r>
            <w:proofErr w:type="spellStart"/>
            <w:r w:rsidRPr="002464DF">
              <w:t>KC</w:t>
            </w:r>
            <w:r>
              <w:t>l</w:t>
            </w:r>
            <w:proofErr w:type="spellEnd"/>
          </w:p>
        </w:tc>
        <w:tc>
          <w:tcPr>
            <w:tcW w:w="465" w:type="pct"/>
            <w:tcBorders>
              <w:top w:val="single" w:sz="4" w:space="0" w:color="auto"/>
              <w:bottom w:val="single" w:sz="4" w:space="0" w:color="auto"/>
            </w:tcBorders>
            <w:shd w:val="clear" w:color="auto" w:fill="auto"/>
            <w:noWrap/>
            <w:vAlign w:val="bottom"/>
            <w:hideMark/>
          </w:tcPr>
          <w:p w:rsidR="002464DF" w:rsidRPr="002464DF" w:rsidRDefault="002464DF" w:rsidP="000D000C">
            <w:pPr>
              <w:pStyle w:val="NoSpacing"/>
              <w:jc w:val="center"/>
            </w:pPr>
            <w:r w:rsidRPr="002464DF">
              <w:t>SYMPAL</w:t>
            </w:r>
          </w:p>
        </w:tc>
        <w:tc>
          <w:tcPr>
            <w:tcW w:w="476" w:type="pct"/>
            <w:tcBorders>
              <w:top w:val="single" w:sz="4" w:space="0" w:color="auto"/>
              <w:bottom w:val="single" w:sz="4" w:space="0" w:color="auto"/>
            </w:tcBorders>
            <w:shd w:val="clear" w:color="auto" w:fill="auto"/>
            <w:noWrap/>
            <w:vAlign w:val="bottom"/>
            <w:hideMark/>
          </w:tcPr>
          <w:p w:rsidR="002464DF" w:rsidRPr="002464DF" w:rsidRDefault="002464DF" w:rsidP="000D000C">
            <w:pPr>
              <w:pStyle w:val="NoSpacing"/>
              <w:jc w:val="center"/>
            </w:pPr>
            <w:r w:rsidRPr="002464DF">
              <w:t>Average</w:t>
            </w:r>
          </w:p>
        </w:tc>
      </w:tr>
      <w:tr w:rsidR="00633AED" w:rsidRPr="002464DF" w:rsidTr="00544CED">
        <w:trPr>
          <w:trHeight w:val="300"/>
        </w:trPr>
        <w:tc>
          <w:tcPr>
            <w:tcW w:w="721" w:type="pct"/>
            <w:vMerge w:val="restart"/>
            <w:tcBorders>
              <w:top w:val="single" w:sz="4" w:space="0" w:color="auto"/>
            </w:tcBorders>
            <w:vAlign w:val="center"/>
          </w:tcPr>
          <w:p w:rsidR="00633AED" w:rsidRPr="002464DF" w:rsidRDefault="00633AED" w:rsidP="000D000C">
            <w:pPr>
              <w:pStyle w:val="NoSpacing"/>
            </w:pPr>
            <w:r>
              <w:t>Without lime</w:t>
            </w:r>
          </w:p>
        </w:tc>
        <w:tc>
          <w:tcPr>
            <w:tcW w:w="476" w:type="pct"/>
            <w:tcBorders>
              <w:top w:val="single" w:sz="4" w:space="0" w:color="auto"/>
            </w:tcBorders>
            <w:shd w:val="clear" w:color="auto" w:fill="auto"/>
            <w:noWrap/>
            <w:vAlign w:val="bottom"/>
            <w:hideMark/>
          </w:tcPr>
          <w:p w:rsidR="00633AED" w:rsidRPr="002464DF" w:rsidRDefault="00633AED" w:rsidP="000D000C">
            <w:pPr>
              <w:pStyle w:val="NoSpacing"/>
            </w:pPr>
            <w:r w:rsidRPr="002464DF">
              <w:t xml:space="preserve">- </w:t>
            </w:r>
            <w:proofErr w:type="spellStart"/>
            <w:r w:rsidRPr="002464DF">
              <w:t>inoc</w:t>
            </w:r>
            <w:proofErr w:type="spellEnd"/>
          </w:p>
        </w:tc>
        <w:tc>
          <w:tcPr>
            <w:tcW w:w="389" w:type="pct"/>
            <w:tcBorders>
              <w:top w:val="single" w:sz="4" w:space="0" w:color="auto"/>
            </w:tcBorders>
            <w:shd w:val="clear" w:color="auto" w:fill="auto"/>
            <w:noWrap/>
            <w:vAlign w:val="bottom"/>
          </w:tcPr>
          <w:p w:rsidR="00633AED" w:rsidRDefault="00633AED" w:rsidP="00633AED">
            <w:pPr>
              <w:pStyle w:val="NoSpacing"/>
              <w:jc w:val="center"/>
            </w:pPr>
            <w:r>
              <w:t>2.0</w:t>
            </w:r>
          </w:p>
        </w:tc>
        <w:tc>
          <w:tcPr>
            <w:tcW w:w="343" w:type="pct"/>
            <w:tcBorders>
              <w:top w:val="single" w:sz="4" w:space="0" w:color="auto"/>
            </w:tcBorders>
            <w:shd w:val="clear" w:color="auto" w:fill="auto"/>
            <w:noWrap/>
            <w:vAlign w:val="bottom"/>
          </w:tcPr>
          <w:p w:rsidR="00633AED" w:rsidRDefault="00633AED" w:rsidP="00633AED">
            <w:pPr>
              <w:pStyle w:val="NoSpacing"/>
              <w:jc w:val="center"/>
            </w:pPr>
            <w:r>
              <w:t>2.8</w:t>
            </w:r>
          </w:p>
        </w:tc>
        <w:tc>
          <w:tcPr>
            <w:tcW w:w="592" w:type="pct"/>
            <w:tcBorders>
              <w:top w:val="single" w:sz="4" w:space="0" w:color="auto"/>
            </w:tcBorders>
            <w:shd w:val="clear" w:color="auto" w:fill="auto"/>
            <w:noWrap/>
            <w:vAlign w:val="bottom"/>
          </w:tcPr>
          <w:p w:rsidR="00633AED" w:rsidRDefault="00633AED" w:rsidP="00633AED">
            <w:pPr>
              <w:pStyle w:val="NoSpacing"/>
              <w:jc w:val="center"/>
            </w:pPr>
            <w:r>
              <w:t>2.5</w:t>
            </w:r>
          </w:p>
        </w:tc>
        <w:tc>
          <w:tcPr>
            <w:tcW w:w="724" w:type="pct"/>
            <w:tcBorders>
              <w:top w:val="single" w:sz="4" w:space="0" w:color="auto"/>
            </w:tcBorders>
            <w:shd w:val="clear" w:color="auto" w:fill="auto"/>
            <w:noWrap/>
            <w:vAlign w:val="bottom"/>
          </w:tcPr>
          <w:p w:rsidR="00633AED" w:rsidRDefault="00633AED" w:rsidP="00633AED">
            <w:pPr>
              <w:pStyle w:val="NoSpacing"/>
              <w:jc w:val="center"/>
            </w:pPr>
            <w:r>
              <w:t>2.2</w:t>
            </w:r>
          </w:p>
        </w:tc>
        <w:tc>
          <w:tcPr>
            <w:tcW w:w="330" w:type="pct"/>
            <w:tcBorders>
              <w:top w:val="single" w:sz="4" w:space="0" w:color="auto"/>
            </w:tcBorders>
            <w:shd w:val="clear" w:color="auto" w:fill="auto"/>
            <w:noWrap/>
            <w:vAlign w:val="bottom"/>
          </w:tcPr>
          <w:p w:rsidR="00633AED" w:rsidRDefault="00633AED" w:rsidP="00633AED">
            <w:pPr>
              <w:pStyle w:val="NoSpacing"/>
              <w:jc w:val="center"/>
            </w:pPr>
            <w:r>
              <w:t>2.4</w:t>
            </w:r>
          </w:p>
        </w:tc>
        <w:tc>
          <w:tcPr>
            <w:tcW w:w="485" w:type="pct"/>
            <w:tcBorders>
              <w:top w:val="single" w:sz="4" w:space="0" w:color="auto"/>
            </w:tcBorders>
            <w:shd w:val="clear" w:color="auto" w:fill="auto"/>
            <w:noWrap/>
            <w:vAlign w:val="bottom"/>
          </w:tcPr>
          <w:p w:rsidR="00633AED" w:rsidRDefault="00633AED" w:rsidP="00633AED">
            <w:pPr>
              <w:pStyle w:val="NoSpacing"/>
              <w:jc w:val="center"/>
            </w:pPr>
            <w:r>
              <w:t>2.5</w:t>
            </w:r>
          </w:p>
        </w:tc>
        <w:tc>
          <w:tcPr>
            <w:tcW w:w="465" w:type="pct"/>
            <w:tcBorders>
              <w:top w:val="single" w:sz="4" w:space="0" w:color="auto"/>
            </w:tcBorders>
            <w:shd w:val="clear" w:color="auto" w:fill="auto"/>
            <w:noWrap/>
            <w:vAlign w:val="bottom"/>
          </w:tcPr>
          <w:p w:rsidR="00633AED" w:rsidRDefault="00633AED" w:rsidP="00633AED">
            <w:pPr>
              <w:pStyle w:val="NoSpacing"/>
              <w:jc w:val="center"/>
            </w:pPr>
            <w:r>
              <w:t>2.3</w:t>
            </w:r>
          </w:p>
        </w:tc>
        <w:tc>
          <w:tcPr>
            <w:tcW w:w="476" w:type="pct"/>
            <w:tcBorders>
              <w:top w:val="single" w:sz="4" w:space="0" w:color="auto"/>
            </w:tcBorders>
            <w:shd w:val="clear" w:color="auto" w:fill="auto"/>
            <w:noWrap/>
            <w:vAlign w:val="bottom"/>
          </w:tcPr>
          <w:p w:rsidR="00633AED" w:rsidRDefault="00633AED" w:rsidP="00633AED">
            <w:pPr>
              <w:pStyle w:val="NoSpacing"/>
              <w:jc w:val="center"/>
            </w:pPr>
            <w:r>
              <w:t>2.4</w:t>
            </w:r>
          </w:p>
        </w:tc>
      </w:tr>
      <w:tr w:rsidR="00633AED" w:rsidRPr="002464DF" w:rsidTr="00544CED">
        <w:trPr>
          <w:trHeight w:val="300"/>
        </w:trPr>
        <w:tc>
          <w:tcPr>
            <w:tcW w:w="720" w:type="pct"/>
            <w:vMerge/>
            <w:vAlign w:val="center"/>
          </w:tcPr>
          <w:p w:rsidR="00633AED" w:rsidRPr="002464DF" w:rsidRDefault="00633AED" w:rsidP="000D000C">
            <w:pPr>
              <w:pStyle w:val="NoSpacing"/>
            </w:pPr>
          </w:p>
        </w:tc>
        <w:tc>
          <w:tcPr>
            <w:tcW w:w="476" w:type="pct"/>
            <w:shd w:val="clear" w:color="auto" w:fill="auto"/>
            <w:noWrap/>
            <w:vAlign w:val="bottom"/>
            <w:hideMark/>
          </w:tcPr>
          <w:p w:rsidR="00633AED" w:rsidRPr="002464DF" w:rsidRDefault="00633AED" w:rsidP="000D000C">
            <w:pPr>
              <w:pStyle w:val="NoSpacing"/>
            </w:pPr>
            <w:r w:rsidRPr="002464DF">
              <w:t xml:space="preserve">+ </w:t>
            </w:r>
            <w:proofErr w:type="spellStart"/>
            <w:r w:rsidRPr="002464DF">
              <w:t>inoc</w:t>
            </w:r>
            <w:proofErr w:type="spellEnd"/>
          </w:p>
        </w:tc>
        <w:tc>
          <w:tcPr>
            <w:tcW w:w="389" w:type="pct"/>
            <w:shd w:val="clear" w:color="auto" w:fill="auto"/>
            <w:noWrap/>
            <w:vAlign w:val="bottom"/>
          </w:tcPr>
          <w:p w:rsidR="00633AED" w:rsidRDefault="00633AED" w:rsidP="00633AED">
            <w:pPr>
              <w:pStyle w:val="NoSpacing"/>
              <w:jc w:val="center"/>
            </w:pPr>
            <w:r>
              <w:t>1.9</w:t>
            </w:r>
          </w:p>
        </w:tc>
        <w:tc>
          <w:tcPr>
            <w:tcW w:w="343" w:type="pct"/>
            <w:shd w:val="clear" w:color="auto" w:fill="auto"/>
            <w:noWrap/>
            <w:vAlign w:val="bottom"/>
          </w:tcPr>
          <w:p w:rsidR="00633AED" w:rsidRDefault="00633AED" w:rsidP="00633AED">
            <w:pPr>
              <w:pStyle w:val="NoSpacing"/>
              <w:jc w:val="center"/>
            </w:pPr>
            <w:r>
              <w:t>2.8</w:t>
            </w:r>
          </w:p>
        </w:tc>
        <w:tc>
          <w:tcPr>
            <w:tcW w:w="592" w:type="pct"/>
            <w:shd w:val="clear" w:color="auto" w:fill="auto"/>
            <w:noWrap/>
            <w:vAlign w:val="bottom"/>
          </w:tcPr>
          <w:p w:rsidR="00633AED" w:rsidRDefault="00633AED" w:rsidP="00633AED">
            <w:pPr>
              <w:pStyle w:val="NoSpacing"/>
              <w:jc w:val="center"/>
            </w:pPr>
            <w:r>
              <w:t>3.1</w:t>
            </w:r>
          </w:p>
        </w:tc>
        <w:tc>
          <w:tcPr>
            <w:tcW w:w="724" w:type="pct"/>
            <w:shd w:val="clear" w:color="auto" w:fill="auto"/>
            <w:noWrap/>
            <w:vAlign w:val="bottom"/>
          </w:tcPr>
          <w:p w:rsidR="00633AED" w:rsidRDefault="00633AED" w:rsidP="00633AED">
            <w:pPr>
              <w:pStyle w:val="NoSpacing"/>
              <w:jc w:val="center"/>
            </w:pPr>
            <w:r>
              <w:t>2.5</w:t>
            </w:r>
          </w:p>
        </w:tc>
        <w:tc>
          <w:tcPr>
            <w:tcW w:w="330" w:type="pct"/>
            <w:shd w:val="clear" w:color="auto" w:fill="auto"/>
            <w:noWrap/>
            <w:vAlign w:val="bottom"/>
          </w:tcPr>
          <w:p w:rsidR="00633AED" w:rsidRDefault="00633AED" w:rsidP="00633AED">
            <w:pPr>
              <w:pStyle w:val="NoSpacing"/>
              <w:jc w:val="center"/>
            </w:pPr>
            <w:r>
              <w:t>2.6</w:t>
            </w:r>
          </w:p>
        </w:tc>
        <w:tc>
          <w:tcPr>
            <w:tcW w:w="485" w:type="pct"/>
            <w:shd w:val="clear" w:color="auto" w:fill="auto"/>
            <w:noWrap/>
            <w:vAlign w:val="bottom"/>
          </w:tcPr>
          <w:p w:rsidR="00633AED" w:rsidRDefault="00633AED" w:rsidP="00633AED">
            <w:pPr>
              <w:pStyle w:val="NoSpacing"/>
              <w:jc w:val="center"/>
            </w:pPr>
            <w:r>
              <w:t>2.1</w:t>
            </w:r>
          </w:p>
        </w:tc>
        <w:tc>
          <w:tcPr>
            <w:tcW w:w="465" w:type="pct"/>
            <w:shd w:val="clear" w:color="auto" w:fill="auto"/>
            <w:noWrap/>
            <w:vAlign w:val="bottom"/>
          </w:tcPr>
          <w:p w:rsidR="00633AED" w:rsidRDefault="00633AED" w:rsidP="00633AED">
            <w:pPr>
              <w:pStyle w:val="NoSpacing"/>
              <w:jc w:val="center"/>
            </w:pPr>
            <w:r>
              <w:t>2.7</w:t>
            </w:r>
          </w:p>
        </w:tc>
        <w:tc>
          <w:tcPr>
            <w:tcW w:w="476" w:type="pct"/>
            <w:shd w:val="clear" w:color="auto" w:fill="auto"/>
            <w:noWrap/>
            <w:vAlign w:val="bottom"/>
          </w:tcPr>
          <w:p w:rsidR="00633AED" w:rsidRDefault="00633AED" w:rsidP="00633AED">
            <w:pPr>
              <w:pStyle w:val="NoSpacing"/>
              <w:jc w:val="center"/>
            </w:pPr>
            <w:r>
              <w:t>2.5</w:t>
            </w:r>
          </w:p>
        </w:tc>
      </w:tr>
      <w:tr w:rsidR="00633AED" w:rsidRPr="002464DF" w:rsidTr="00544CED">
        <w:trPr>
          <w:trHeight w:val="300"/>
        </w:trPr>
        <w:tc>
          <w:tcPr>
            <w:tcW w:w="720" w:type="pct"/>
            <w:vMerge w:val="restart"/>
            <w:vAlign w:val="center"/>
          </w:tcPr>
          <w:p w:rsidR="00633AED" w:rsidRPr="002464DF" w:rsidRDefault="00633AED" w:rsidP="000D000C">
            <w:pPr>
              <w:pStyle w:val="NoSpacing"/>
            </w:pPr>
            <w:r>
              <w:t>With lime</w:t>
            </w:r>
          </w:p>
        </w:tc>
        <w:tc>
          <w:tcPr>
            <w:tcW w:w="476" w:type="pct"/>
            <w:shd w:val="clear" w:color="auto" w:fill="auto"/>
            <w:noWrap/>
            <w:vAlign w:val="bottom"/>
            <w:hideMark/>
          </w:tcPr>
          <w:p w:rsidR="00633AED" w:rsidRPr="002464DF" w:rsidRDefault="00633AED" w:rsidP="000D000C">
            <w:pPr>
              <w:pStyle w:val="NoSpacing"/>
            </w:pPr>
            <w:r w:rsidRPr="002464DF">
              <w:t xml:space="preserve">- </w:t>
            </w:r>
            <w:proofErr w:type="spellStart"/>
            <w:r w:rsidRPr="002464DF">
              <w:t>inoc</w:t>
            </w:r>
            <w:proofErr w:type="spellEnd"/>
          </w:p>
        </w:tc>
        <w:tc>
          <w:tcPr>
            <w:tcW w:w="389" w:type="pct"/>
            <w:shd w:val="clear" w:color="auto" w:fill="auto"/>
            <w:noWrap/>
            <w:vAlign w:val="bottom"/>
          </w:tcPr>
          <w:p w:rsidR="00633AED" w:rsidRDefault="00633AED" w:rsidP="00633AED">
            <w:pPr>
              <w:pStyle w:val="NoSpacing"/>
              <w:jc w:val="center"/>
            </w:pPr>
            <w:r>
              <w:t>2.6</w:t>
            </w:r>
          </w:p>
        </w:tc>
        <w:tc>
          <w:tcPr>
            <w:tcW w:w="343" w:type="pct"/>
            <w:shd w:val="clear" w:color="auto" w:fill="auto"/>
            <w:noWrap/>
            <w:vAlign w:val="bottom"/>
          </w:tcPr>
          <w:p w:rsidR="00633AED" w:rsidRDefault="00633AED" w:rsidP="00633AED">
            <w:pPr>
              <w:pStyle w:val="NoSpacing"/>
              <w:jc w:val="center"/>
            </w:pPr>
            <w:r>
              <w:t>2.9</w:t>
            </w:r>
          </w:p>
        </w:tc>
        <w:tc>
          <w:tcPr>
            <w:tcW w:w="592" w:type="pct"/>
            <w:shd w:val="clear" w:color="auto" w:fill="auto"/>
            <w:noWrap/>
            <w:vAlign w:val="bottom"/>
          </w:tcPr>
          <w:p w:rsidR="00633AED" w:rsidRDefault="00633AED" w:rsidP="00633AED">
            <w:pPr>
              <w:pStyle w:val="NoSpacing"/>
              <w:jc w:val="center"/>
            </w:pPr>
            <w:r>
              <w:t>2.7</w:t>
            </w:r>
          </w:p>
        </w:tc>
        <w:tc>
          <w:tcPr>
            <w:tcW w:w="724" w:type="pct"/>
            <w:shd w:val="clear" w:color="auto" w:fill="auto"/>
            <w:noWrap/>
            <w:vAlign w:val="bottom"/>
          </w:tcPr>
          <w:p w:rsidR="00633AED" w:rsidRDefault="00633AED" w:rsidP="00633AED">
            <w:pPr>
              <w:pStyle w:val="NoSpacing"/>
              <w:jc w:val="center"/>
            </w:pPr>
            <w:r>
              <w:t>2.5</w:t>
            </w:r>
          </w:p>
        </w:tc>
        <w:tc>
          <w:tcPr>
            <w:tcW w:w="330" w:type="pct"/>
            <w:shd w:val="clear" w:color="auto" w:fill="auto"/>
            <w:noWrap/>
            <w:vAlign w:val="bottom"/>
          </w:tcPr>
          <w:p w:rsidR="00633AED" w:rsidRDefault="00633AED" w:rsidP="00633AED">
            <w:pPr>
              <w:pStyle w:val="NoSpacing"/>
              <w:jc w:val="center"/>
            </w:pPr>
            <w:r>
              <w:t>2.9</w:t>
            </w:r>
          </w:p>
        </w:tc>
        <w:tc>
          <w:tcPr>
            <w:tcW w:w="485" w:type="pct"/>
            <w:shd w:val="clear" w:color="auto" w:fill="auto"/>
            <w:noWrap/>
            <w:vAlign w:val="bottom"/>
          </w:tcPr>
          <w:p w:rsidR="00633AED" w:rsidRDefault="00633AED" w:rsidP="00633AED">
            <w:pPr>
              <w:pStyle w:val="NoSpacing"/>
              <w:jc w:val="center"/>
            </w:pPr>
            <w:r>
              <w:t>2.5</w:t>
            </w:r>
          </w:p>
        </w:tc>
        <w:tc>
          <w:tcPr>
            <w:tcW w:w="465" w:type="pct"/>
            <w:shd w:val="clear" w:color="auto" w:fill="auto"/>
            <w:noWrap/>
            <w:vAlign w:val="bottom"/>
          </w:tcPr>
          <w:p w:rsidR="00633AED" w:rsidRDefault="00633AED" w:rsidP="00633AED">
            <w:pPr>
              <w:pStyle w:val="NoSpacing"/>
              <w:jc w:val="center"/>
            </w:pPr>
            <w:r>
              <w:t>2.5</w:t>
            </w:r>
          </w:p>
        </w:tc>
        <w:tc>
          <w:tcPr>
            <w:tcW w:w="476" w:type="pct"/>
            <w:shd w:val="clear" w:color="auto" w:fill="auto"/>
            <w:noWrap/>
            <w:vAlign w:val="bottom"/>
          </w:tcPr>
          <w:p w:rsidR="00633AED" w:rsidRDefault="00633AED" w:rsidP="00633AED">
            <w:pPr>
              <w:pStyle w:val="NoSpacing"/>
              <w:jc w:val="center"/>
            </w:pPr>
            <w:r>
              <w:t>2.6</w:t>
            </w:r>
          </w:p>
        </w:tc>
      </w:tr>
      <w:tr w:rsidR="00633AED" w:rsidRPr="002464DF" w:rsidTr="00544CED">
        <w:trPr>
          <w:trHeight w:val="300"/>
        </w:trPr>
        <w:tc>
          <w:tcPr>
            <w:tcW w:w="720" w:type="pct"/>
            <w:vMerge/>
            <w:tcBorders>
              <w:bottom w:val="single" w:sz="4" w:space="0" w:color="auto"/>
            </w:tcBorders>
            <w:vAlign w:val="bottom"/>
          </w:tcPr>
          <w:p w:rsidR="00633AED" w:rsidRPr="002464DF" w:rsidRDefault="00633AED" w:rsidP="000D000C">
            <w:pPr>
              <w:pStyle w:val="NoSpacing"/>
            </w:pPr>
          </w:p>
        </w:tc>
        <w:tc>
          <w:tcPr>
            <w:tcW w:w="476" w:type="pct"/>
            <w:tcBorders>
              <w:bottom w:val="single" w:sz="4" w:space="0" w:color="auto"/>
            </w:tcBorders>
            <w:shd w:val="clear" w:color="auto" w:fill="auto"/>
            <w:noWrap/>
            <w:vAlign w:val="bottom"/>
            <w:hideMark/>
          </w:tcPr>
          <w:p w:rsidR="00633AED" w:rsidRPr="002464DF" w:rsidRDefault="00633AED" w:rsidP="000D000C">
            <w:pPr>
              <w:pStyle w:val="NoSpacing"/>
            </w:pPr>
            <w:r w:rsidRPr="002464DF">
              <w:t xml:space="preserve">+ </w:t>
            </w:r>
            <w:proofErr w:type="spellStart"/>
            <w:r w:rsidRPr="002464DF">
              <w:t>inoc</w:t>
            </w:r>
            <w:proofErr w:type="spellEnd"/>
          </w:p>
        </w:tc>
        <w:tc>
          <w:tcPr>
            <w:tcW w:w="389" w:type="pct"/>
            <w:tcBorders>
              <w:bottom w:val="single" w:sz="4" w:space="0" w:color="auto"/>
            </w:tcBorders>
            <w:shd w:val="clear" w:color="auto" w:fill="auto"/>
            <w:noWrap/>
            <w:vAlign w:val="bottom"/>
          </w:tcPr>
          <w:p w:rsidR="00633AED" w:rsidRDefault="00633AED" w:rsidP="00633AED">
            <w:pPr>
              <w:pStyle w:val="NoSpacing"/>
              <w:jc w:val="center"/>
            </w:pPr>
            <w:r>
              <w:t>2.7</w:t>
            </w:r>
          </w:p>
        </w:tc>
        <w:tc>
          <w:tcPr>
            <w:tcW w:w="343" w:type="pct"/>
            <w:tcBorders>
              <w:bottom w:val="single" w:sz="4" w:space="0" w:color="auto"/>
            </w:tcBorders>
            <w:shd w:val="clear" w:color="auto" w:fill="auto"/>
            <w:noWrap/>
            <w:vAlign w:val="bottom"/>
          </w:tcPr>
          <w:p w:rsidR="00633AED" w:rsidRDefault="00633AED" w:rsidP="00633AED">
            <w:pPr>
              <w:pStyle w:val="NoSpacing"/>
              <w:jc w:val="center"/>
            </w:pPr>
            <w:r>
              <w:t>2.8</w:t>
            </w:r>
          </w:p>
        </w:tc>
        <w:tc>
          <w:tcPr>
            <w:tcW w:w="592" w:type="pct"/>
            <w:tcBorders>
              <w:bottom w:val="single" w:sz="4" w:space="0" w:color="auto"/>
            </w:tcBorders>
            <w:shd w:val="clear" w:color="auto" w:fill="auto"/>
            <w:noWrap/>
            <w:vAlign w:val="bottom"/>
          </w:tcPr>
          <w:p w:rsidR="00633AED" w:rsidRDefault="00633AED" w:rsidP="00633AED">
            <w:pPr>
              <w:pStyle w:val="NoSpacing"/>
              <w:jc w:val="center"/>
            </w:pPr>
            <w:r>
              <w:t>2.7</w:t>
            </w:r>
          </w:p>
        </w:tc>
        <w:tc>
          <w:tcPr>
            <w:tcW w:w="724" w:type="pct"/>
            <w:tcBorders>
              <w:bottom w:val="single" w:sz="4" w:space="0" w:color="auto"/>
            </w:tcBorders>
            <w:shd w:val="clear" w:color="auto" w:fill="auto"/>
            <w:noWrap/>
            <w:vAlign w:val="bottom"/>
          </w:tcPr>
          <w:p w:rsidR="00633AED" w:rsidRDefault="00633AED" w:rsidP="00633AED">
            <w:pPr>
              <w:pStyle w:val="NoSpacing"/>
              <w:jc w:val="center"/>
            </w:pPr>
            <w:r>
              <w:t>2.6</w:t>
            </w:r>
          </w:p>
        </w:tc>
        <w:tc>
          <w:tcPr>
            <w:tcW w:w="330" w:type="pct"/>
            <w:tcBorders>
              <w:bottom w:val="single" w:sz="4" w:space="0" w:color="auto"/>
            </w:tcBorders>
            <w:shd w:val="clear" w:color="auto" w:fill="auto"/>
            <w:noWrap/>
            <w:vAlign w:val="bottom"/>
          </w:tcPr>
          <w:p w:rsidR="00633AED" w:rsidRDefault="00633AED" w:rsidP="00633AED">
            <w:pPr>
              <w:pStyle w:val="NoSpacing"/>
              <w:jc w:val="center"/>
            </w:pPr>
            <w:r>
              <w:t>3.1</w:t>
            </w:r>
          </w:p>
        </w:tc>
        <w:tc>
          <w:tcPr>
            <w:tcW w:w="485" w:type="pct"/>
            <w:tcBorders>
              <w:bottom w:val="single" w:sz="4" w:space="0" w:color="auto"/>
            </w:tcBorders>
            <w:shd w:val="clear" w:color="auto" w:fill="auto"/>
            <w:noWrap/>
            <w:vAlign w:val="bottom"/>
          </w:tcPr>
          <w:p w:rsidR="00633AED" w:rsidRDefault="00633AED" w:rsidP="00633AED">
            <w:pPr>
              <w:pStyle w:val="NoSpacing"/>
              <w:jc w:val="center"/>
            </w:pPr>
            <w:r>
              <w:t>3.0</w:t>
            </w:r>
          </w:p>
        </w:tc>
        <w:tc>
          <w:tcPr>
            <w:tcW w:w="465" w:type="pct"/>
            <w:tcBorders>
              <w:bottom w:val="single" w:sz="4" w:space="0" w:color="auto"/>
            </w:tcBorders>
            <w:shd w:val="clear" w:color="auto" w:fill="auto"/>
            <w:noWrap/>
            <w:vAlign w:val="bottom"/>
          </w:tcPr>
          <w:p w:rsidR="00633AED" w:rsidRDefault="00633AED" w:rsidP="00633AED">
            <w:pPr>
              <w:pStyle w:val="NoSpacing"/>
              <w:jc w:val="center"/>
            </w:pPr>
            <w:r>
              <w:t>2.6</w:t>
            </w:r>
          </w:p>
        </w:tc>
        <w:tc>
          <w:tcPr>
            <w:tcW w:w="476" w:type="pct"/>
            <w:tcBorders>
              <w:bottom w:val="single" w:sz="4" w:space="0" w:color="auto"/>
            </w:tcBorders>
            <w:shd w:val="clear" w:color="auto" w:fill="auto"/>
            <w:noWrap/>
            <w:vAlign w:val="bottom"/>
          </w:tcPr>
          <w:p w:rsidR="00633AED" w:rsidRDefault="00633AED" w:rsidP="00633AED">
            <w:pPr>
              <w:pStyle w:val="NoSpacing"/>
              <w:jc w:val="center"/>
            </w:pPr>
            <w:r>
              <w:t>2.8</w:t>
            </w:r>
          </w:p>
        </w:tc>
      </w:tr>
      <w:tr w:rsidR="00633AED" w:rsidRPr="002464DF" w:rsidTr="00544CED">
        <w:trPr>
          <w:trHeight w:val="300"/>
        </w:trPr>
        <w:tc>
          <w:tcPr>
            <w:tcW w:w="720" w:type="pct"/>
            <w:tcBorders>
              <w:top w:val="single" w:sz="4" w:space="0" w:color="auto"/>
              <w:bottom w:val="single" w:sz="4" w:space="0" w:color="auto"/>
            </w:tcBorders>
            <w:vAlign w:val="bottom"/>
          </w:tcPr>
          <w:p w:rsidR="00633AED" w:rsidRPr="002464DF" w:rsidRDefault="00633AED" w:rsidP="000D000C">
            <w:pPr>
              <w:pStyle w:val="NoSpacing"/>
            </w:pPr>
          </w:p>
        </w:tc>
        <w:tc>
          <w:tcPr>
            <w:tcW w:w="476" w:type="pct"/>
            <w:tcBorders>
              <w:top w:val="single" w:sz="4" w:space="0" w:color="auto"/>
              <w:bottom w:val="single" w:sz="4" w:space="0" w:color="auto"/>
            </w:tcBorders>
            <w:shd w:val="clear" w:color="auto" w:fill="auto"/>
            <w:noWrap/>
            <w:vAlign w:val="bottom"/>
            <w:hideMark/>
          </w:tcPr>
          <w:p w:rsidR="00633AED" w:rsidRPr="002464DF" w:rsidRDefault="00633AED" w:rsidP="000D000C">
            <w:pPr>
              <w:pStyle w:val="NoSpacing"/>
            </w:pPr>
            <w:r>
              <w:t>A</w:t>
            </w:r>
            <w:r w:rsidRPr="002464DF">
              <w:t>verage</w:t>
            </w:r>
          </w:p>
        </w:tc>
        <w:tc>
          <w:tcPr>
            <w:tcW w:w="389" w:type="pct"/>
            <w:tcBorders>
              <w:top w:val="single" w:sz="4" w:space="0" w:color="auto"/>
              <w:bottom w:val="single" w:sz="4" w:space="0" w:color="auto"/>
            </w:tcBorders>
            <w:shd w:val="clear" w:color="auto" w:fill="auto"/>
            <w:noWrap/>
            <w:vAlign w:val="bottom"/>
          </w:tcPr>
          <w:p w:rsidR="00633AED" w:rsidRDefault="00633AED" w:rsidP="00633AED">
            <w:pPr>
              <w:pStyle w:val="NoSpacing"/>
              <w:jc w:val="center"/>
            </w:pPr>
            <w:r>
              <w:t>2.3</w:t>
            </w:r>
          </w:p>
        </w:tc>
        <w:tc>
          <w:tcPr>
            <w:tcW w:w="343" w:type="pct"/>
            <w:tcBorders>
              <w:top w:val="single" w:sz="4" w:space="0" w:color="auto"/>
              <w:bottom w:val="single" w:sz="4" w:space="0" w:color="auto"/>
            </w:tcBorders>
            <w:shd w:val="clear" w:color="auto" w:fill="auto"/>
            <w:noWrap/>
            <w:vAlign w:val="bottom"/>
          </w:tcPr>
          <w:p w:rsidR="00633AED" w:rsidRDefault="00633AED" w:rsidP="00633AED">
            <w:pPr>
              <w:pStyle w:val="NoSpacing"/>
              <w:jc w:val="center"/>
            </w:pPr>
            <w:r>
              <w:t>2.8</w:t>
            </w:r>
          </w:p>
        </w:tc>
        <w:tc>
          <w:tcPr>
            <w:tcW w:w="592" w:type="pct"/>
            <w:tcBorders>
              <w:top w:val="single" w:sz="4" w:space="0" w:color="auto"/>
              <w:bottom w:val="single" w:sz="4" w:space="0" w:color="auto"/>
            </w:tcBorders>
            <w:shd w:val="clear" w:color="auto" w:fill="auto"/>
            <w:noWrap/>
            <w:vAlign w:val="bottom"/>
          </w:tcPr>
          <w:p w:rsidR="00633AED" w:rsidRDefault="00633AED" w:rsidP="00633AED">
            <w:pPr>
              <w:pStyle w:val="NoSpacing"/>
              <w:jc w:val="center"/>
            </w:pPr>
            <w:r>
              <w:t>2.7</w:t>
            </w:r>
          </w:p>
        </w:tc>
        <w:tc>
          <w:tcPr>
            <w:tcW w:w="724" w:type="pct"/>
            <w:tcBorders>
              <w:top w:val="single" w:sz="4" w:space="0" w:color="auto"/>
              <w:bottom w:val="single" w:sz="4" w:space="0" w:color="auto"/>
            </w:tcBorders>
            <w:shd w:val="clear" w:color="auto" w:fill="auto"/>
            <w:noWrap/>
            <w:vAlign w:val="bottom"/>
          </w:tcPr>
          <w:p w:rsidR="00633AED" w:rsidRDefault="00633AED" w:rsidP="00633AED">
            <w:pPr>
              <w:pStyle w:val="NoSpacing"/>
              <w:jc w:val="center"/>
            </w:pPr>
            <w:r>
              <w:t>2.5</w:t>
            </w:r>
          </w:p>
        </w:tc>
        <w:tc>
          <w:tcPr>
            <w:tcW w:w="330" w:type="pct"/>
            <w:tcBorders>
              <w:top w:val="single" w:sz="4" w:space="0" w:color="auto"/>
              <w:bottom w:val="single" w:sz="4" w:space="0" w:color="auto"/>
            </w:tcBorders>
            <w:shd w:val="clear" w:color="auto" w:fill="auto"/>
            <w:noWrap/>
            <w:vAlign w:val="bottom"/>
          </w:tcPr>
          <w:p w:rsidR="00633AED" w:rsidRDefault="00633AED" w:rsidP="00633AED">
            <w:pPr>
              <w:pStyle w:val="NoSpacing"/>
              <w:jc w:val="center"/>
            </w:pPr>
            <w:r>
              <w:t>2.8</w:t>
            </w:r>
          </w:p>
        </w:tc>
        <w:tc>
          <w:tcPr>
            <w:tcW w:w="485" w:type="pct"/>
            <w:tcBorders>
              <w:top w:val="single" w:sz="4" w:space="0" w:color="auto"/>
              <w:bottom w:val="single" w:sz="4" w:space="0" w:color="auto"/>
            </w:tcBorders>
            <w:shd w:val="clear" w:color="auto" w:fill="auto"/>
            <w:noWrap/>
            <w:vAlign w:val="bottom"/>
          </w:tcPr>
          <w:p w:rsidR="00633AED" w:rsidRDefault="00633AED" w:rsidP="00633AED">
            <w:pPr>
              <w:pStyle w:val="NoSpacing"/>
              <w:jc w:val="center"/>
            </w:pPr>
            <w:r>
              <w:t>2.5</w:t>
            </w:r>
          </w:p>
        </w:tc>
        <w:tc>
          <w:tcPr>
            <w:tcW w:w="465" w:type="pct"/>
            <w:tcBorders>
              <w:top w:val="single" w:sz="4" w:space="0" w:color="auto"/>
              <w:bottom w:val="single" w:sz="4" w:space="0" w:color="auto"/>
            </w:tcBorders>
            <w:shd w:val="clear" w:color="auto" w:fill="auto"/>
            <w:noWrap/>
            <w:vAlign w:val="bottom"/>
          </w:tcPr>
          <w:p w:rsidR="00633AED" w:rsidRDefault="00633AED" w:rsidP="00633AED">
            <w:pPr>
              <w:pStyle w:val="NoSpacing"/>
              <w:jc w:val="center"/>
            </w:pPr>
            <w:r>
              <w:t>2.5</w:t>
            </w:r>
          </w:p>
        </w:tc>
        <w:tc>
          <w:tcPr>
            <w:tcW w:w="476" w:type="pct"/>
            <w:tcBorders>
              <w:top w:val="single" w:sz="4" w:space="0" w:color="auto"/>
              <w:bottom w:val="single" w:sz="4" w:space="0" w:color="auto"/>
            </w:tcBorders>
            <w:shd w:val="clear" w:color="auto" w:fill="auto"/>
            <w:noWrap/>
            <w:vAlign w:val="bottom"/>
          </w:tcPr>
          <w:p w:rsidR="00633AED" w:rsidRDefault="00633AED" w:rsidP="00633AED">
            <w:pPr>
              <w:pStyle w:val="NoSpacing"/>
              <w:jc w:val="center"/>
            </w:pPr>
            <w:r>
              <w:t>2.6</w:t>
            </w:r>
          </w:p>
        </w:tc>
      </w:tr>
    </w:tbl>
    <w:p w:rsidR="002464DF" w:rsidRDefault="002464DF" w:rsidP="00544CED">
      <w:pPr>
        <w:pStyle w:val="NoSpacing"/>
      </w:pPr>
    </w:p>
    <w:p w:rsidR="00C37C89" w:rsidRDefault="00C37C89" w:rsidP="00544CED">
      <w:pPr>
        <w:pStyle w:val="NoSpacing"/>
      </w:pPr>
    </w:p>
    <w:p w:rsidR="00544CED" w:rsidRDefault="00C37C89" w:rsidP="00544CED">
      <w:pPr>
        <w:pStyle w:val="NoSpacing"/>
        <w:rPr>
          <w:i/>
        </w:rPr>
      </w:pPr>
      <w:r>
        <w:rPr>
          <w:noProof/>
          <w:lang w:val="en-US"/>
        </w:rPr>
        <w:drawing>
          <wp:inline distT="0" distB="0" distL="0" distR="0" wp14:anchorId="3488B00F" wp14:editId="2316D564">
            <wp:extent cx="4572000" cy="274320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544CED" w:rsidRDefault="00544CED" w:rsidP="00544CED">
      <w:pPr>
        <w:pStyle w:val="NoSpacing"/>
        <w:rPr>
          <w:i/>
        </w:rPr>
      </w:pPr>
    </w:p>
    <w:p w:rsidR="00544CED" w:rsidRDefault="00C37C89" w:rsidP="00544CED">
      <w:pPr>
        <w:pStyle w:val="NoSpacing"/>
        <w:rPr>
          <w:i/>
        </w:rPr>
      </w:pPr>
      <w:r>
        <w:rPr>
          <w:noProof/>
          <w:lang w:val="en-US"/>
        </w:rPr>
        <w:drawing>
          <wp:inline distT="0" distB="0" distL="0" distR="0" wp14:anchorId="7968B120" wp14:editId="41439329">
            <wp:extent cx="4572000" cy="2743200"/>
            <wp:effectExtent l="0" t="0" r="19050" b="19050"/>
            <wp:docPr id="40" name="Chart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44CED" w:rsidRPr="00D97994" w:rsidRDefault="00544CED" w:rsidP="00544CED">
      <w:pPr>
        <w:pStyle w:val="NoSpacing"/>
      </w:pPr>
    </w:p>
    <w:p w:rsidR="00D97994" w:rsidRPr="00D97994" w:rsidRDefault="00D97994" w:rsidP="00544CED">
      <w:pPr>
        <w:pStyle w:val="NoSpacing"/>
      </w:pPr>
    </w:p>
    <w:p w:rsidR="002E4633" w:rsidRDefault="002E4633">
      <w:pPr>
        <w:rPr>
          <w:rFonts w:ascii="Verdana" w:hAnsi="Verdana"/>
          <w:i/>
          <w:sz w:val="17"/>
          <w:lang w:val="en-GB"/>
        </w:rPr>
      </w:pPr>
      <w:r>
        <w:rPr>
          <w:i/>
        </w:rPr>
        <w:br w:type="page"/>
      </w:r>
    </w:p>
    <w:p w:rsidR="00544CED" w:rsidRPr="00544CED" w:rsidRDefault="00544CED" w:rsidP="00544CED">
      <w:pPr>
        <w:pStyle w:val="NoSpacing"/>
        <w:rPr>
          <w:i/>
        </w:rPr>
      </w:pPr>
      <w:r w:rsidRPr="00544CED">
        <w:rPr>
          <w:i/>
        </w:rPr>
        <w:lastRenderedPageBreak/>
        <w:t>Grain yield</w:t>
      </w:r>
    </w:p>
    <w:tbl>
      <w:tblPr>
        <w:tblW w:w="5000" w:type="pct"/>
        <w:tblBorders>
          <w:top w:val="single" w:sz="4" w:space="0" w:color="auto"/>
          <w:bottom w:val="single" w:sz="4" w:space="0" w:color="auto"/>
        </w:tblBorders>
        <w:tblLook w:val="04A0" w:firstRow="1" w:lastRow="0" w:firstColumn="1" w:lastColumn="0" w:noHBand="0" w:noVBand="1"/>
      </w:tblPr>
      <w:tblGrid>
        <w:gridCol w:w="1386"/>
        <w:gridCol w:w="916"/>
        <w:gridCol w:w="748"/>
        <w:gridCol w:w="660"/>
        <w:gridCol w:w="1139"/>
        <w:gridCol w:w="1394"/>
        <w:gridCol w:w="635"/>
        <w:gridCol w:w="933"/>
        <w:gridCol w:w="895"/>
        <w:gridCol w:w="916"/>
      </w:tblGrid>
      <w:tr w:rsidR="00544CED" w:rsidRPr="002464DF" w:rsidTr="00544CED">
        <w:trPr>
          <w:trHeight w:val="300"/>
        </w:trPr>
        <w:tc>
          <w:tcPr>
            <w:tcW w:w="720" w:type="pct"/>
            <w:tcBorders>
              <w:top w:val="single" w:sz="4" w:space="0" w:color="auto"/>
              <w:bottom w:val="single" w:sz="4" w:space="0" w:color="auto"/>
            </w:tcBorders>
            <w:vAlign w:val="bottom"/>
          </w:tcPr>
          <w:p w:rsidR="00544CED" w:rsidRPr="002464DF" w:rsidRDefault="00544CED" w:rsidP="000D000C">
            <w:pPr>
              <w:pStyle w:val="NoSpacing"/>
            </w:pPr>
          </w:p>
        </w:tc>
        <w:tc>
          <w:tcPr>
            <w:tcW w:w="476" w:type="pct"/>
            <w:tcBorders>
              <w:top w:val="single" w:sz="4" w:space="0" w:color="auto"/>
              <w:bottom w:val="single" w:sz="4" w:space="0" w:color="auto"/>
            </w:tcBorders>
            <w:shd w:val="clear" w:color="auto" w:fill="auto"/>
            <w:noWrap/>
            <w:vAlign w:val="bottom"/>
            <w:hideMark/>
          </w:tcPr>
          <w:p w:rsidR="00544CED" w:rsidRPr="002464DF" w:rsidRDefault="00544CED" w:rsidP="000D000C">
            <w:pPr>
              <w:pStyle w:val="NoSpacing"/>
            </w:pPr>
          </w:p>
        </w:tc>
        <w:tc>
          <w:tcPr>
            <w:tcW w:w="389" w:type="pct"/>
            <w:tcBorders>
              <w:top w:val="single" w:sz="4" w:space="0" w:color="auto"/>
              <w:bottom w:val="single" w:sz="4" w:space="0" w:color="auto"/>
            </w:tcBorders>
            <w:shd w:val="clear" w:color="auto" w:fill="auto"/>
            <w:noWrap/>
            <w:vAlign w:val="bottom"/>
            <w:hideMark/>
          </w:tcPr>
          <w:p w:rsidR="00544CED" w:rsidRPr="002464DF" w:rsidRDefault="00544CED" w:rsidP="000D000C">
            <w:pPr>
              <w:pStyle w:val="NoSpacing"/>
              <w:jc w:val="center"/>
            </w:pPr>
            <w:r>
              <w:t>None</w:t>
            </w:r>
          </w:p>
        </w:tc>
        <w:tc>
          <w:tcPr>
            <w:tcW w:w="343" w:type="pct"/>
            <w:tcBorders>
              <w:top w:val="single" w:sz="4" w:space="0" w:color="auto"/>
              <w:bottom w:val="single" w:sz="4" w:space="0" w:color="auto"/>
            </w:tcBorders>
            <w:shd w:val="clear" w:color="auto" w:fill="auto"/>
            <w:noWrap/>
            <w:vAlign w:val="bottom"/>
            <w:hideMark/>
          </w:tcPr>
          <w:p w:rsidR="00544CED" w:rsidRPr="002464DF" w:rsidRDefault="00544CED" w:rsidP="000D000C">
            <w:pPr>
              <w:pStyle w:val="NoSpacing"/>
              <w:jc w:val="center"/>
            </w:pPr>
            <w:r w:rsidRPr="002464DF">
              <w:t>DAP</w:t>
            </w:r>
          </w:p>
        </w:tc>
        <w:tc>
          <w:tcPr>
            <w:tcW w:w="592" w:type="pct"/>
            <w:tcBorders>
              <w:top w:val="single" w:sz="4" w:space="0" w:color="auto"/>
              <w:bottom w:val="single" w:sz="4" w:space="0" w:color="auto"/>
            </w:tcBorders>
            <w:shd w:val="clear" w:color="auto" w:fill="auto"/>
            <w:noWrap/>
            <w:vAlign w:val="bottom"/>
            <w:hideMark/>
          </w:tcPr>
          <w:p w:rsidR="00544CED" w:rsidRPr="002464DF" w:rsidRDefault="00544CED" w:rsidP="000D000C">
            <w:pPr>
              <w:pStyle w:val="NoSpacing"/>
              <w:jc w:val="center"/>
            </w:pPr>
            <w:r w:rsidRPr="002464DF">
              <w:t>MRP-DUST</w:t>
            </w:r>
          </w:p>
        </w:tc>
        <w:tc>
          <w:tcPr>
            <w:tcW w:w="724" w:type="pct"/>
            <w:tcBorders>
              <w:top w:val="single" w:sz="4" w:space="0" w:color="auto"/>
              <w:bottom w:val="single" w:sz="4" w:space="0" w:color="auto"/>
            </w:tcBorders>
            <w:shd w:val="clear" w:color="auto" w:fill="auto"/>
            <w:noWrap/>
            <w:vAlign w:val="bottom"/>
            <w:hideMark/>
          </w:tcPr>
          <w:p w:rsidR="00544CED" w:rsidRPr="002464DF" w:rsidRDefault="00544CED" w:rsidP="000D000C">
            <w:pPr>
              <w:pStyle w:val="NoSpacing"/>
              <w:jc w:val="center"/>
            </w:pPr>
            <w:r w:rsidRPr="002464DF">
              <w:t>MRP-PALLETS</w:t>
            </w:r>
          </w:p>
        </w:tc>
        <w:tc>
          <w:tcPr>
            <w:tcW w:w="330" w:type="pct"/>
            <w:tcBorders>
              <w:top w:val="single" w:sz="4" w:space="0" w:color="auto"/>
              <w:bottom w:val="single" w:sz="4" w:space="0" w:color="auto"/>
            </w:tcBorders>
            <w:shd w:val="clear" w:color="auto" w:fill="auto"/>
            <w:noWrap/>
            <w:vAlign w:val="bottom"/>
            <w:hideMark/>
          </w:tcPr>
          <w:p w:rsidR="00544CED" w:rsidRPr="002464DF" w:rsidRDefault="00544CED" w:rsidP="000D000C">
            <w:pPr>
              <w:pStyle w:val="NoSpacing"/>
              <w:jc w:val="center"/>
            </w:pPr>
            <w:r w:rsidRPr="002464DF">
              <w:t>TSP</w:t>
            </w:r>
          </w:p>
        </w:tc>
        <w:tc>
          <w:tcPr>
            <w:tcW w:w="485" w:type="pct"/>
            <w:tcBorders>
              <w:top w:val="single" w:sz="4" w:space="0" w:color="auto"/>
              <w:bottom w:val="single" w:sz="4" w:space="0" w:color="auto"/>
            </w:tcBorders>
            <w:shd w:val="clear" w:color="auto" w:fill="auto"/>
            <w:noWrap/>
            <w:vAlign w:val="bottom"/>
            <w:hideMark/>
          </w:tcPr>
          <w:p w:rsidR="00544CED" w:rsidRPr="002464DF" w:rsidRDefault="00544CED" w:rsidP="000D000C">
            <w:pPr>
              <w:pStyle w:val="NoSpacing"/>
              <w:jc w:val="center"/>
            </w:pPr>
            <w:r w:rsidRPr="002464DF">
              <w:t>TSP/</w:t>
            </w:r>
            <w:proofErr w:type="spellStart"/>
            <w:r w:rsidRPr="002464DF">
              <w:t>KC</w:t>
            </w:r>
            <w:r>
              <w:t>l</w:t>
            </w:r>
            <w:proofErr w:type="spellEnd"/>
          </w:p>
        </w:tc>
        <w:tc>
          <w:tcPr>
            <w:tcW w:w="465" w:type="pct"/>
            <w:tcBorders>
              <w:top w:val="single" w:sz="4" w:space="0" w:color="auto"/>
              <w:bottom w:val="single" w:sz="4" w:space="0" w:color="auto"/>
            </w:tcBorders>
            <w:shd w:val="clear" w:color="auto" w:fill="auto"/>
            <w:noWrap/>
            <w:vAlign w:val="bottom"/>
            <w:hideMark/>
          </w:tcPr>
          <w:p w:rsidR="00544CED" w:rsidRPr="002464DF" w:rsidRDefault="00544CED" w:rsidP="000D000C">
            <w:pPr>
              <w:pStyle w:val="NoSpacing"/>
              <w:jc w:val="center"/>
            </w:pPr>
            <w:r w:rsidRPr="002464DF">
              <w:t>SYMPAL</w:t>
            </w:r>
          </w:p>
        </w:tc>
        <w:tc>
          <w:tcPr>
            <w:tcW w:w="476" w:type="pct"/>
            <w:tcBorders>
              <w:top w:val="single" w:sz="4" w:space="0" w:color="auto"/>
              <w:bottom w:val="single" w:sz="4" w:space="0" w:color="auto"/>
            </w:tcBorders>
            <w:shd w:val="clear" w:color="auto" w:fill="auto"/>
            <w:noWrap/>
            <w:vAlign w:val="bottom"/>
            <w:hideMark/>
          </w:tcPr>
          <w:p w:rsidR="00544CED" w:rsidRPr="002464DF" w:rsidRDefault="00544CED" w:rsidP="000D000C">
            <w:pPr>
              <w:pStyle w:val="NoSpacing"/>
              <w:jc w:val="center"/>
            </w:pPr>
            <w:r w:rsidRPr="002464DF">
              <w:t>Average</w:t>
            </w:r>
          </w:p>
        </w:tc>
      </w:tr>
      <w:tr w:rsidR="00544CED" w:rsidRPr="002464DF" w:rsidTr="000D000C">
        <w:trPr>
          <w:trHeight w:val="300"/>
        </w:trPr>
        <w:tc>
          <w:tcPr>
            <w:tcW w:w="721" w:type="pct"/>
            <w:vMerge w:val="restart"/>
            <w:tcBorders>
              <w:top w:val="single" w:sz="4" w:space="0" w:color="auto"/>
            </w:tcBorders>
            <w:vAlign w:val="center"/>
          </w:tcPr>
          <w:p w:rsidR="00544CED" w:rsidRPr="002464DF" w:rsidRDefault="00544CED" w:rsidP="000D000C">
            <w:pPr>
              <w:pStyle w:val="NoSpacing"/>
            </w:pPr>
            <w:r>
              <w:t>Without lime</w:t>
            </w:r>
          </w:p>
        </w:tc>
        <w:tc>
          <w:tcPr>
            <w:tcW w:w="476" w:type="pct"/>
            <w:tcBorders>
              <w:top w:val="single" w:sz="4" w:space="0" w:color="auto"/>
            </w:tcBorders>
            <w:shd w:val="clear" w:color="auto" w:fill="auto"/>
            <w:noWrap/>
            <w:vAlign w:val="bottom"/>
            <w:hideMark/>
          </w:tcPr>
          <w:p w:rsidR="00544CED" w:rsidRPr="002464DF" w:rsidRDefault="00544CED" w:rsidP="000D000C">
            <w:pPr>
              <w:pStyle w:val="NoSpacing"/>
            </w:pPr>
            <w:r w:rsidRPr="002464DF">
              <w:t xml:space="preserve">- </w:t>
            </w:r>
            <w:proofErr w:type="spellStart"/>
            <w:r w:rsidRPr="002464DF">
              <w:t>inoc</w:t>
            </w:r>
            <w:proofErr w:type="spellEnd"/>
          </w:p>
        </w:tc>
        <w:tc>
          <w:tcPr>
            <w:tcW w:w="389" w:type="pct"/>
            <w:tcBorders>
              <w:top w:val="single" w:sz="4" w:space="0" w:color="auto"/>
            </w:tcBorders>
            <w:shd w:val="clear" w:color="auto" w:fill="auto"/>
            <w:noWrap/>
            <w:vAlign w:val="bottom"/>
          </w:tcPr>
          <w:p w:rsidR="00544CED" w:rsidRDefault="00544CED" w:rsidP="00544CED">
            <w:pPr>
              <w:pStyle w:val="NoSpacing"/>
              <w:jc w:val="center"/>
            </w:pPr>
            <w:r>
              <w:t>537</w:t>
            </w:r>
          </w:p>
        </w:tc>
        <w:tc>
          <w:tcPr>
            <w:tcW w:w="343" w:type="pct"/>
            <w:tcBorders>
              <w:top w:val="single" w:sz="4" w:space="0" w:color="auto"/>
            </w:tcBorders>
            <w:shd w:val="clear" w:color="auto" w:fill="auto"/>
            <w:noWrap/>
            <w:vAlign w:val="bottom"/>
          </w:tcPr>
          <w:p w:rsidR="00544CED" w:rsidRDefault="00544CED" w:rsidP="00544CED">
            <w:pPr>
              <w:pStyle w:val="NoSpacing"/>
              <w:jc w:val="center"/>
            </w:pPr>
            <w:r>
              <w:t>608</w:t>
            </w:r>
          </w:p>
        </w:tc>
        <w:tc>
          <w:tcPr>
            <w:tcW w:w="592" w:type="pct"/>
            <w:tcBorders>
              <w:top w:val="single" w:sz="4" w:space="0" w:color="auto"/>
            </w:tcBorders>
            <w:shd w:val="clear" w:color="auto" w:fill="auto"/>
            <w:noWrap/>
            <w:vAlign w:val="bottom"/>
          </w:tcPr>
          <w:p w:rsidR="00544CED" w:rsidRDefault="00544CED" w:rsidP="00544CED">
            <w:pPr>
              <w:pStyle w:val="NoSpacing"/>
              <w:jc w:val="center"/>
            </w:pPr>
            <w:r>
              <w:t>601</w:t>
            </w:r>
          </w:p>
        </w:tc>
        <w:tc>
          <w:tcPr>
            <w:tcW w:w="724" w:type="pct"/>
            <w:tcBorders>
              <w:top w:val="single" w:sz="4" w:space="0" w:color="auto"/>
            </w:tcBorders>
            <w:shd w:val="clear" w:color="auto" w:fill="auto"/>
            <w:noWrap/>
            <w:vAlign w:val="bottom"/>
          </w:tcPr>
          <w:p w:rsidR="00544CED" w:rsidRDefault="00544CED" w:rsidP="00544CED">
            <w:pPr>
              <w:pStyle w:val="NoSpacing"/>
              <w:jc w:val="center"/>
            </w:pPr>
            <w:r>
              <w:t>605</w:t>
            </w:r>
          </w:p>
        </w:tc>
        <w:tc>
          <w:tcPr>
            <w:tcW w:w="330" w:type="pct"/>
            <w:tcBorders>
              <w:top w:val="single" w:sz="4" w:space="0" w:color="auto"/>
            </w:tcBorders>
            <w:shd w:val="clear" w:color="auto" w:fill="auto"/>
            <w:noWrap/>
            <w:vAlign w:val="bottom"/>
          </w:tcPr>
          <w:p w:rsidR="00544CED" w:rsidRDefault="00544CED" w:rsidP="00544CED">
            <w:pPr>
              <w:pStyle w:val="NoSpacing"/>
              <w:jc w:val="center"/>
            </w:pPr>
            <w:r>
              <w:t>982</w:t>
            </w:r>
          </w:p>
        </w:tc>
        <w:tc>
          <w:tcPr>
            <w:tcW w:w="485" w:type="pct"/>
            <w:tcBorders>
              <w:top w:val="single" w:sz="4" w:space="0" w:color="auto"/>
            </w:tcBorders>
            <w:shd w:val="clear" w:color="auto" w:fill="auto"/>
            <w:noWrap/>
            <w:vAlign w:val="bottom"/>
          </w:tcPr>
          <w:p w:rsidR="00544CED" w:rsidRDefault="00544CED" w:rsidP="00544CED">
            <w:pPr>
              <w:pStyle w:val="NoSpacing"/>
              <w:jc w:val="center"/>
            </w:pPr>
            <w:r>
              <w:t>836</w:t>
            </w:r>
          </w:p>
        </w:tc>
        <w:tc>
          <w:tcPr>
            <w:tcW w:w="465" w:type="pct"/>
            <w:tcBorders>
              <w:top w:val="single" w:sz="4" w:space="0" w:color="auto"/>
            </w:tcBorders>
            <w:shd w:val="clear" w:color="auto" w:fill="auto"/>
            <w:noWrap/>
            <w:vAlign w:val="bottom"/>
          </w:tcPr>
          <w:p w:rsidR="00544CED" w:rsidRDefault="00544CED" w:rsidP="00544CED">
            <w:pPr>
              <w:pStyle w:val="NoSpacing"/>
              <w:jc w:val="center"/>
            </w:pPr>
            <w:r>
              <w:t>936</w:t>
            </w:r>
          </w:p>
        </w:tc>
        <w:tc>
          <w:tcPr>
            <w:tcW w:w="476" w:type="pct"/>
            <w:tcBorders>
              <w:top w:val="single" w:sz="4" w:space="0" w:color="auto"/>
            </w:tcBorders>
            <w:shd w:val="clear" w:color="auto" w:fill="auto"/>
            <w:noWrap/>
            <w:vAlign w:val="bottom"/>
          </w:tcPr>
          <w:p w:rsidR="00544CED" w:rsidRDefault="00544CED" w:rsidP="00544CED">
            <w:pPr>
              <w:pStyle w:val="NoSpacing"/>
              <w:jc w:val="center"/>
            </w:pPr>
            <w:r>
              <w:t>730</w:t>
            </w:r>
          </w:p>
        </w:tc>
      </w:tr>
      <w:tr w:rsidR="00544CED" w:rsidRPr="002464DF" w:rsidTr="00544CED">
        <w:trPr>
          <w:trHeight w:val="300"/>
        </w:trPr>
        <w:tc>
          <w:tcPr>
            <w:tcW w:w="720" w:type="pct"/>
            <w:vMerge/>
            <w:vAlign w:val="center"/>
          </w:tcPr>
          <w:p w:rsidR="00544CED" w:rsidRPr="002464DF" w:rsidRDefault="00544CED" w:rsidP="000D000C">
            <w:pPr>
              <w:pStyle w:val="NoSpacing"/>
            </w:pPr>
          </w:p>
        </w:tc>
        <w:tc>
          <w:tcPr>
            <w:tcW w:w="476" w:type="pct"/>
            <w:shd w:val="clear" w:color="auto" w:fill="auto"/>
            <w:noWrap/>
            <w:vAlign w:val="bottom"/>
            <w:hideMark/>
          </w:tcPr>
          <w:p w:rsidR="00544CED" w:rsidRPr="002464DF" w:rsidRDefault="00544CED" w:rsidP="000D000C">
            <w:pPr>
              <w:pStyle w:val="NoSpacing"/>
            </w:pPr>
            <w:r w:rsidRPr="002464DF">
              <w:t xml:space="preserve">+ </w:t>
            </w:r>
            <w:proofErr w:type="spellStart"/>
            <w:r w:rsidRPr="002464DF">
              <w:t>inoc</w:t>
            </w:r>
            <w:proofErr w:type="spellEnd"/>
          </w:p>
        </w:tc>
        <w:tc>
          <w:tcPr>
            <w:tcW w:w="389" w:type="pct"/>
            <w:shd w:val="clear" w:color="auto" w:fill="auto"/>
            <w:noWrap/>
            <w:vAlign w:val="bottom"/>
          </w:tcPr>
          <w:p w:rsidR="00544CED" w:rsidRDefault="00544CED" w:rsidP="00544CED">
            <w:pPr>
              <w:pStyle w:val="NoSpacing"/>
              <w:jc w:val="center"/>
            </w:pPr>
            <w:r>
              <w:t>356</w:t>
            </w:r>
          </w:p>
        </w:tc>
        <w:tc>
          <w:tcPr>
            <w:tcW w:w="343" w:type="pct"/>
            <w:shd w:val="clear" w:color="auto" w:fill="auto"/>
            <w:noWrap/>
            <w:vAlign w:val="bottom"/>
          </w:tcPr>
          <w:p w:rsidR="00544CED" w:rsidRDefault="00544CED" w:rsidP="00544CED">
            <w:pPr>
              <w:pStyle w:val="NoSpacing"/>
              <w:jc w:val="center"/>
            </w:pPr>
            <w:r>
              <w:t>620</w:t>
            </w:r>
          </w:p>
        </w:tc>
        <w:tc>
          <w:tcPr>
            <w:tcW w:w="592" w:type="pct"/>
            <w:shd w:val="clear" w:color="auto" w:fill="auto"/>
            <w:noWrap/>
            <w:vAlign w:val="bottom"/>
          </w:tcPr>
          <w:p w:rsidR="00544CED" w:rsidRDefault="00544CED" w:rsidP="00544CED">
            <w:pPr>
              <w:pStyle w:val="NoSpacing"/>
              <w:jc w:val="center"/>
            </w:pPr>
            <w:r>
              <w:t>601</w:t>
            </w:r>
          </w:p>
        </w:tc>
        <w:tc>
          <w:tcPr>
            <w:tcW w:w="724" w:type="pct"/>
            <w:shd w:val="clear" w:color="auto" w:fill="auto"/>
            <w:noWrap/>
            <w:vAlign w:val="bottom"/>
          </w:tcPr>
          <w:p w:rsidR="00544CED" w:rsidRDefault="00544CED" w:rsidP="00544CED">
            <w:pPr>
              <w:pStyle w:val="NoSpacing"/>
              <w:jc w:val="center"/>
            </w:pPr>
            <w:r>
              <w:t>497</w:t>
            </w:r>
          </w:p>
        </w:tc>
        <w:tc>
          <w:tcPr>
            <w:tcW w:w="330" w:type="pct"/>
            <w:shd w:val="clear" w:color="auto" w:fill="auto"/>
            <w:noWrap/>
            <w:vAlign w:val="bottom"/>
          </w:tcPr>
          <w:p w:rsidR="00544CED" w:rsidRDefault="00544CED" w:rsidP="00544CED">
            <w:pPr>
              <w:pStyle w:val="NoSpacing"/>
              <w:jc w:val="center"/>
            </w:pPr>
            <w:r>
              <w:t>554</w:t>
            </w:r>
          </w:p>
        </w:tc>
        <w:tc>
          <w:tcPr>
            <w:tcW w:w="485" w:type="pct"/>
            <w:shd w:val="clear" w:color="auto" w:fill="auto"/>
            <w:noWrap/>
            <w:vAlign w:val="bottom"/>
          </w:tcPr>
          <w:p w:rsidR="00544CED" w:rsidRDefault="00544CED" w:rsidP="00544CED">
            <w:pPr>
              <w:pStyle w:val="NoSpacing"/>
              <w:jc w:val="center"/>
            </w:pPr>
            <w:r>
              <w:t>657</w:t>
            </w:r>
          </w:p>
        </w:tc>
        <w:tc>
          <w:tcPr>
            <w:tcW w:w="465" w:type="pct"/>
            <w:shd w:val="clear" w:color="auto" w:fill="auto"/>
            <w:noWrap/>
            <w:vAlign w:val="bottom"/>
          </w:tcPr>
          <w:p w:rsidR="00544CED" w:rsidRDefault="00544CED" w:rsidP="00544CED">
            <w:pPr>
              <w:pStyle w:val="NoSpacing"/>
              <w:jc w:val="center"/>
            </w:pPr>
            <w:r>
              <w:t>636</w:t>
            </w:r>
          </w:p>
        </w:tc>
        <w:tc>
          <w:tcPr>
            <w:tcW w:w="476" w:type="pct"/>
            <w:shd w:val="clear" w:color="auto" w:fill="auto"/>
            <w:noWrap/>
            <w:vAlign w:val="bottom"/>
          </w:tcPr>
          <w:p w:rsidR="00544CED" w:rsidRDefault="00544CED" w:rsidP="00544CED">
            <w:pPr>
              <w:pStyle w:val="NoSpacing"/>
              <w:jc w:val="center"/>
            </w:pPr>
            <w:r>
              <w:t>560</w:t>
            </w:r>
          </w:p>
        </w:tc>
      </w:tr>
      <w:tr w:rsidR="00544CED" w:rsidRPr="002464DF" w:rsidTr="00544CED">
        <w:trPr>
          <w:trHeight w:val="300"/>
        </w:trPr>
        <w:tc>
          <w:tcPr>
            <w:tcW w:w="720" w:type="pct"/>
            <w:vMerge w:val="restart"/>
            <w:vAlign w:val="center"/>
          </w:tcPr>
          <w:p w:rsidR="00544CED" w:rsidRPr="002464DF" w:rsidRDefault="00544CED" w:rsidP="000D000C">
            <w:pPr>
              <w:pStyle w:val="NoSpacing"/>
            </w:pPr>
            <w:r>
              <w:t>With lime</w:t>
            </w:r>
          </w:p>
        </w:tc>
        <w:tc>
          <w:tcPr>
            <w:tcW w:w="476" w:type="pct"/>
            <w:shd w:val="clear" w:color="auto" w:fill="auto"/>
            <w:noWrap/>
            <w:vAlign w:val="bottom"/>
            <w:hideMark/>
          </w:tcPr>
          <w:p w:rsidR="00544CED" w:rsidRPr="002464DF" w:rsidRDefault="00544CED" w:rsidP="000D000C">
            <w:pPr>
              <w:pStyle w:val="NoSpacing"/>
            </w:pPr>
            <w:r w:rsidRPr="002464DF">
              <w:t xml:space="preserve">- </w:t>
            </w:r>
            <w:proofErr w:type="spellStart"/>
            <w:r w:rsidRPr="002464DF">
              <w:t>inoc</w:t>
            </w:r>
            <w:proofErr w:type="spellEnd"/>
          </w:p>
        </w:tc>
        <w:tc>
          <w:tcPr>
            <w:tcW w:w="389" w:type="pct"/>
            <w:shd w:val="clear" w:color="auto" w:fill="auto"/>
            <w:noWrap/>
            <w:vAlign w:val="bottom"/>
          </w:tcPr>
          <w:p w:rsidR="00544CED" w:rsidRDefault="00544CED" w:rsidP="00544CED">
            <w:pPr>
              <w:pStyle w:val="NoSpacing"/>
              <w:jc w:val="center"/>
            </w:pPr>
            <w:r>
              <w:t>507</w:t>
            </w:r>
          </w:p>
        </w:tc>
        <w:tc>
          <w:tcPr>
            <w:tcW w:w="343" w:type="pct"/>
            <w:shd w:val="clear" w:color="auto" w:fill="auto"/>
            <w:noWrap/>
            <w:vAlign w:val="bottom"/>
          </w:tcPr>
          <w:p w:rsidR="00544CED" w:rsidRDefault="00544CED" w:rsidP="00544CED">
            <w:pPr>
              <w:pStyle w:val="NoSpacing"/>
              <w:jc w:val="center"/>
            </w:pPr>
            <w:r>
              <w:t>929</w:t>
            </w:r>
          </w:p>
        </w:tc>
        <w:tc>
          <w:tcPr>
            <w:tcW w:w="592" w:type="pct"/>
            <w:shd w:val="clear" w:color="auto" w:fill="auto"/>
            <w:noWrap/>
            <w:vAlign w:val="bottom"/>
          </w:tcPr>
          <w:p w:rsidR="00544CED" w:rsidRDefault="00544CED" w:rsidP="00544CED">
            <w:pPr>
              <w:pStyle w:val="NoSpacing"/>
              <w:jc w:val="center"/>
            </w:pPr>
            <w:r>
              <w:t>548</w:t>
            </w:r>
          </w:p>
        </w:tc>
        <w:tc>
          <w:tcPr>
            <w:tcW w:w="724" w:type="pct"/>
            <w:shd w:val="clear" w:color="auto" w:fill="auto"/>
            <w:noWrap/>
            <w:vAlign w:val="bottom"/>
          </w:tcPr>
          <w:p w:rsidR="00544CED" w:rsidRDefault="00544CED" w:rsidP="00544CED">
            <w:pPr>
              <w:pStyle w:val="NoSpacing"/>
              <w:jc w:val="center"/>
            </w:pPr>
            <w:r>
              <w:t>471</w:t>
            </w:r>
          </w:p>
        </w:tc>
        <w:tc>
          <w:tcPr>
            <w:tcW w:w="330" w:type="pct"/>
            <w:shd w:val="clear" w:color="auto" w:fill="auto"/>
            <w:noWrap/>
            <w:vAlign w:val="bottom"/>
          </w:tcPr>
          <w:p w:rsidR="00544CED" w:rsidRDefault="00544CED" w:rsidP="00544CED">
            <w:pPr>
              <w:pStyle w:val="NoSpacing"/>
              <w:jc w:val="center"/>
            </w:pPr>
            <w:r>
              <w:t>515</w:t>
            </w:r>
          </w:p>
        </w:tc>
        <w:tc>
          <w:tcPr>
            <w:tcW w:w="485" w:type="pct"/>
            <w:shd w:val="clear" w:color="auto" w:fill="auto"/>
            <w:noWrap/>
            <w:vAlign w:val="bottom"/>
          </w:tcPr>
          <w:p w:rsidR="00544CED" w:rsidRDefault="00544CED" w:rsidP="00544CED">
            <w:pPr>
              <w:pStyle w:val="NoSpacing"/>
              <w:jc w:val="center"/>
            </w:pPr>
            <w:r>
              <w:t>706</w:t>
            </w:r>
          </w:p>
        </w:tc>
        <w:tc>
          <w:tcPr>
            <w:tcW w:w="465" w:type="pct"/>
            <w:shd w:val="clear" w:color="auto" w:fill="auto"/>
            <w:noWrap/>
            <w:vAlign w:val="bottom"/>
          </w:tcPr>
          <w:p w:rsidR="00544CED" w:rsidRDefault="00544CED" w:rsidP="00544CED">
            <w:pPr>
              <w:pStyle w:val="NoSpacing"/>
              <w:jc w:val="center"/>
            </w:pPr>
            <w:r>
              <w:t>652</w:t>
            </w:r>
          </w:p>
        </w:tc>
        <w:tc>
          <w:tcPr>
            <w:tcW w:w="476" w:type="pct"/>
            <w:shd w:val="clear" w:color="auto" w:fill="auto"/>
            <w:noWrap/>
            <w:vAlign w:val="bottom"/>
          </w:tcPr>
          <w:p w:rsidR="00544CED" w:rsidRDefault="00544CED" w:rsidP="00544CED">
            <w:pPr>
              <w:pStyle w:val="NoSpacing"/>
              <w:jc w:val="center"/>
            </w:pPr>
            <w:r>
              <w:t>618</w:t>
            </w:r>
          </w:p>
        </w:tc>
      </w:tr>
      <w:tr w:rsidR="00544CED" w:rsidRPr="002464DF" w:rsidTr="00544CED">
        <w:trPr>
          <w:trHeight w:val="300"/>
        </w:trPr>
        <w:tc>
          <w:tcPr>
            <w:tcW w:w="720" w:type="pct"/>
            <w:vMerge/>
            <w:tcBorders>
              <w:bottom w:val="single" w:sz="4" w:space="0" w:color="auto"/>
            </w:tcBorders>
            <w:vAlign w:val="bottom"/>
          </w:tcPr>
          <w:p w:rsidR="00544CED" w:rsidRPr="002464DF" w:rsidRDefault="00544CED" w:rsidP="000D000C">
            <w:pPr>
              <w:pStyle w:val="NoSpacing"/>
            </w:pPr>
          </w:p>
        </w:tc>
        <w:tc>
          <w:tcPr>
            <w:tcW w:w="476" w:type="pct"/>
            <w:tcBorders>
              <w:bottom w:val="single" w:sz="4" w:space="0" w:color="auto"/>
            </w:tcBorders>
            <w:shd w:val="clear" w:color="auto" w:fill="auto"/>
            <w:noWrap/>
            <w:vAlign w:val="bottom"/>
            <w:hideMark/>
          </w:tcPr>
          <w:p w:rsidR="00544CED" w:rsidRPr="002464DF" w:rsidRDefault="00544CED" w:rsidP="000D000C">
            <w:pPr>
              <w:pStyle w:val="NoSpacing"/>
            </w:pPr>
            <w:r w:rsidRPr="002464DF">
              <w:t xml:space="preserve">+ </w:t>
            </w:r>
            <w:proofErr w:type="spellStart"/>
            <w:r w:rsidRPr="002464DF">
              <w:t>inoc</w:t>
            </w:r>
            <w:proofErr w:type="spellEnd"/>
          </w:p>
        </w:tc>
        <w:tc>
          <w:tcPr>
            <w:tcW w:w="389" w:type="pct"/>
            <w:tcBorders>
              <w:bottom w:val="single" w:sz="4" w:space="0" w:color="auto"/>
            </w:tcBorders>
            <w:shd w:val="clear" w:color="auto" w:fill="auto"/>
            <w:noWrap/>
            <w:vAlign w:val="bottom"/>
          </w:tcPr>
          <w:p w:rsidR="00544CED" w:rsidRDefault="00544CED" w:rsidP="00544CED">
            <w:pPr>
              <w:pStyle w:val="NoSpacing"/>
              <w:jc w:val="center"/>
            </w:pPr>
            <w:r>
              <w:t>437</w:t>
            </w:r>
          </w:p>
        </w:tc>
        <w:tc>
          <w:tcPr>
            <w:tcW w:w="343" w:type="pct"/>
            <w:tcBorders>
              <w:bottom w:val="single" w:sz="4" w:space="0" w:color="auto"/>
            </w:tcBorders>
            <w:shd w:val="clear" w:color="auto" w:fill="auto"/>
            <w:noWrap/>
            <w:vAlign w:val="bottom"/>
          </w:tcPr>
          <w:p w:rsidR="00544CED" w:rsidRDefault="00544CED" w:rsidP="00544CED">
            <w:pPr>
              <w:pStyle w:val="NoSpacing"/>
              <w:jc w:val="center"/>
            </w:pPr>
            <w:r>
              <w:t>810</w:t>
            </w:r>
          </w:p>
        </w:tc>
        <w:tc>
          <w:tcPr>
            <w:tcW w:w="592" w:type="pct"/>
            <w:tcBorders>
              <w:bottom w:val="single" w:sz="4" w:space="0" w:color="auto"/>
            </w:tcBorders>
            <w:shd w:val="clear" w:color="auto" w:fill="auto"/>
            <w:noWrap/>
            <w:vAlign w:val="bottom"/>
          </w:tcPr>
          <w:p w:rsidR="00544CED" w:rsidRDefault="00544CED" w:rsidP="00544CED">
            <w:pPr>
              <w:pStyle w:val="NoSpacing"/>
              <w:jc w:val="center"/>
            </w:pPr>
            <w:r>
              <w:t>734</w:t>
            </w:r>
          </w:p>
        </w:tc>
        <w:tc>
          <w:tcPr>
            <w:tcW w:w="724" w:type="pct"/>
            <w:tcBorders>
              <w:bottom w:val="single" w:sz="4" w:space="0" w:color="auto"/>
            </w:tcBorders>
            <w:shd w:val="clear" w:color="auto" w:fill="auto"/>
            <w:noWrap/>
            <w:vAlign w:val="bottom"/>
          </w:tcPr>
          <w:p w:rsidR="00544CED" w:rsidRDefault="00544CED" w:rsidP="00544CED">
            <w:pPr>
              <w:pStyle w:val="NoSpacing"/>
              <w:jc w:val="center"/>
            </w:pPr>
            <w:r>
              <w:t>633</w:t>
            </w:r>
          </w:p>
        </w:tc>
        <w:tc>
          <w:tcPr>
            <w:tcW w:w="330" w:type="pct"/>
            <w:tcBorders>
              <w:bottom w:val="single" w:sz="4" w:space="0" w:color="auto"/>
            </w:tcBorders>
            <w:shd w:val="clear" w:color="auto" w:fill="auto"/>
            <w:noWrap/>
            <w:vAlign w:val="bottom"/>
          </w:tcPr>
          <w:p w:rsidR="00544CED" w:rsidRDefault="00544CED" w:rsidP="00544CED">
            <w:pPr>
              <w:pStyle w:val="NoSpacing"/>
              <w:jc w:val="center"/>
            </w:pPr>
            <w:r>
              <w:t>716</w:t>
            </w:r>
          </w:p>
        </w:tc>
        <w:tc>
          <w:tcPr>
            <w:tcW w:w="485" w:type="pct"/>
            <w:tcBorders>
              <w:bottom w:val="single" w:sz="4" w:space="0" w:color="auto"/>
            </w:tcBorders>
            <w:shd w:val="clear" w:color="auto" w:fill="auto"/>
            <w:noWrap/>
            <w:vAlign w:val="bottom"/>
          </w:tcPr>
          <w:p w:rsidR="00544CED" w:rsidRDefault="00544CED" w:rsidP="00544CED">
            <w:pPr>
              <w:pStyle w:val="NoSpacing"/>
              <w:jc w:val="center"/>
            </w:pPr>
            <w:r>
              <w:t>820</w:t>
            </w:r>
          </w:p>
        </w:tc>
        <w:tc>
          <w:tcPr>
            <w:tcW w:w="465" w:type="pct"/>
            <w:tcBorders>
              <w:bottom w:val="single" w:sz="4" w:space="0" w:color="auto"/>
            </w:tcBorders>
            <w:shd w:val="clear" w:color="auto" w:fill="auto"/>
            <w:noWrap/>
            <w:vAlign w:val="bottom"/>
          </w:tcPr>
          <w:p w:rsidR="00544CED" w:rsidRDefault="00544CED" w:rsidP="00544CED">
            <w:pPr>
              <w:pStyle w:val="NoSpacing"/>
              <w:jc w:val="center"/>
            </w:pPr>
            <w:r>
              <w:t>860</w:t>
            </w:r>
          </w:p>
        </w:tc>
        <w:tc>
          <w:tcPr>
            <w:tcW w:w="476" w:type="pct"/>
            <w:tcBorders>
              <w:bottom w:val="single" w:sz="4" w:space="0" w:color="auto"/>
            </w:tcBorders>
            <w:shd w:val="clear" w:color="auto" w:fill="auto"/>
            <w:noWrap/>
            <w:vAlign w:val="bottom"/>
          </w:tcPr>
          <w:p w:rsidR="00544CED" w:rsidRDefault="00544CED" w:rsidP="00544CED">
            <w:pPr>
              <w:pStyle w:val="NoSpacing"/>
              <w:jc w:val="center"/>
            </w:pPr>
            <w:r>
              <w:t>716</w:t>
            </w:r>
          </w:p>
        </w:tc>
      </w:tr>
      <w:tr w:rsidR="00544CED" w:rsidRPr="002464DF" w:rsidTr="00544CED">
        <w:trPr>
          <w:trHeight w:val="300"/>
        </w:trPr>
        <w:tc>
          <w:tcPr>
            <w:tcW w:w="720" w:type="pct"/>
            <w:tcBorders>
              <w:top w:val="single" w:sz="4" w:space="0" w:color="auto"/>
              <w:bottom w:val="single" w:sz="4" w:space="0" w:color="auto"/>
            </w:tcBorders>
            <w:vAlign w:val="bottom"/>
          </w:tcPr>
          <w:p w:rsidR="00544CED" w:rsidRPr="002464DF" w:rsidRDefault="00544CED" w:rsidP="000D000C">
            <w:pPr>
              <w:pStyle w:val="NoSpacing"/>
            </w:pPr>
          </w:p>
        </w:tc>
        <w:tc>
          <w:tcPr>
            <w:tcW w:w="476" w:type="pct"/>
            <w:tcBorders>
              <w:top w:val="single" w:sz="4" w:space="0" w:color="auto"/>
              <w:bottom w:val="single" w:sz="4" w:space="0" w:color="auto"/>
            </w:tcBorders>
            <w:shd w:val="clear" w:color="auto" w:fill="auto"/>
            <w:noWrap/>
            <w:vAlign w:val="bottom"/>
            <w:hideMark/>
          </w:tcPr>
          <w:p w:rsidR="00544CED" w:rsidRPr="002464DF" w:rsidRDefault="00544CED" w:rsidP="000D000C">
            <w:pPr>
              <w:pStyle w:val="NoSpacing"/>
            </w:pPr>
            <w:r>
              <w:t>A</w:t>
            </w:r>
            <w:r w:rsidRPr="002464DF">
              <w:t>verage</w:t>
            </w:r>
          </w:p>
        </w:tc>
        <w:tc>
          <w:tcPr>
            <w:tcW w:w="389" w:type="pct"/>
            <w:tcBorders>
              <w:top w:val="single" w:sz="4" w:space="0" w:color="auto"/>
              <w:bottom w:val="single" w:sz="4" w:space="0" w:color="auto"/>
            </w:tcBorders>
            <w:shd w:val="clear" w:color="auto" w:fill="auto"/>
            <w:noWrap/>
            <w:vAlign w:val="bottom"/>
          </w:tcPr>
          <w:p w:rsidR="00544CED" w:rsidRDefault="00544CED" w:rsidP="00544CED">
            <w:pPr>
              <w:pStyle w:val="NoSpacing"/>
              <w:jc w:val="center"/>
            </w:pPr>
            <w:r>
              <w:t>459</w:t>
            </w:r>
          </w:p>
        </w:tc>
        <w:tc>
          <w:tcPr>
            <w:tcW w:w="343" w:type="pct"/>
            <w:tcBorders>
              <w:top w:val="single" w:sz="4" w:space="0" w:color="auto"/>
              <w:bottom w:val="single" w:sz="4" w:space="0" w:color="auto"/>
            </w:tcBorders>
            <w:shd w:val="clear" w:color="auto" w:fill="auto"/>
            <w:noWrap/>
            <w:vAlign w:val="bottom"/>
          </w:tcPr>
          <w:p w:rsidR="00544CED" w:rsidRDefault="00544CED" w:rsidP="00544CED">
            <w:pPr>
              <w:pStyle w:val="NoSpacing"/>
              <w:jc w:val="center"/>
            </w:pPr>
            <w:r>
              <w:t>742</w:t>
            </w:r>
          </w:p>
        </w:tc>
        <w:tc>
          <w:tcPr>
            <w:tcW w:w="592" w:type="pct"/>
            <w:tcBorders>
              <w:top w:val="single" w:sz="4" w:space="0" w:color="auto"/>
              <w:bottom w:val="single" w:sz="4" w:space="0" w:color="auto"/>
            </w:tcBorders>
            <w:shd w:val="clear" w:color="auto" w:fill="auto"/>
            <w:noWrap/>
            <w:vAlign w:val="bottom"/>
          </w:tcPr>
          <w:p w:rsidR="00544CED" w:rsidRDefault="00544CED" w:rsidP="00544CED">
            <w:pPr>
              <w:pStyle w:val="NoSpacing"/>
              <w:jc w:val="center"/>
            </w:pPr>
            <w:r>
              <w:t>621</w:t>
            </w:r>
          </w:p>
        </w:tc>
        <w:tc>
          <w:tcPr>
            <w:tcW w:w="724" w:type="pct"/>
            <w:tcBorders>
              <w:top w:val="single" w:sz="4" w:space="0" w:color="auto"/>
              <w:bottom w:val="single" w:sz="4" w:space="0" w:color="auto"/>
            </w:tcBorders>
            <w:shd w:val="clear" w:color="auto" w:fill="auto"/>
            <w:noWrap/>
            <w:vAlign w:val="bottom"/>
          </w:tcPr>
          <w:p w:rsidR="00544CED" w:rsidRDefault="00544CED" w:rsidP="00544CED">
            <w:pPr>
              <w:pStyle w:val="NoSpacing"/>
              <w:jc w:val="center"/>
            </w:pPr>
            <w:r>
              <w:t>552</w:t>
            </w:r>
          </w:p>
        </w:tc>
        <w:tc>
          <w:tcPr>
            <w:tcW w:w="330" w:type="pct"/>
            <w:tcBorders>
              <w:top w:val="single" w:sz="4" w:space="0" w:color="auto"/>
              <w:bottom w:val="single" w:sz="4" w:space="0" w:color="auto"/>
            </w:tcBorders>
            <w:shd w:val="clear" w:color="auto" w:fill="auto"/>
            <w:noWrap/>
            <w:vAlign w:val="bottom"/>
          </w:tcPr>
          <w:p w:rsidR="00544CED" w:rsidRDefault="00544CED" w:rsidP="00544CED">
            <w:pPr>
              <w:pStyle w:val="NoSpacing"/>
              <w:jc w:val="center"/>
            </w:pPr>
            <w:r>
              <w:t>692</w:t>
            </w:r>
          </w:p>
        </w:tc>
        <w:tc>
          <w:tcPr>
            <w:tcW w:w="485" w:type="pct"/>
            <w:tcBorders>
              <w:top w:val="single" w:sz="4" w:space="0" w:color="auto"/>
              <w:bottom w:val="single" w:sz="4" w:space="0" w:color="auto"/>
            </w:tcBorders>
            <w:shd w:val="clear" w:color="auto" w:fill="auto"/>
            <w:noWrap/>
            <w:vAlign w:val="bottom"/>
          </w:tcPr>
          <w:p w:rsidR="00544CED" w:rsidRDefault="00544CED" w:rsidP="00544CED">
            <w:pPr>
              <w:pStyle w:val="NoSpacing"/>
              <w:jc w:val="center"/>
            </w:pPr>
            <w:r>
              <w:t>755</w:t>
            </w:r>
          </w:p>
        </w:tc>
        <w:tc>
          <w:tcPr>
            <w:tcW w:w="465" w:type="pct"/>
            <w:tcBorders>
              <w:top w:val="single" w:sz="4" w:space="0" w:color="auto"/>
              <w:bottom w:val="single" w:sz="4" w:space="0" w:color="auto"/>
            </w:tcBorders>
            <w:shd w:val="clear" w:color="auto" w:fill="auto"/>
            <w:noWrap/>
            <w:vAlign w:val="bottom"/>
          </w:tcPr>
          <w:p w:rsidR="00544CED" w:rsidRDefault="00544CED" w:rsidP="00544CED">
            <w:pPr>
              <w:pStyle w:val="NoSpacing"/>
              <w:jc w:val="center"/>
            </w:pPr>
            <w:r>
              <w:t>771</w:t>
            </w:r>
          </w:p>
        </w:tc>
        <w:tc>
          <w:tcPr>
            <w:tcW w:w="476" w:type="pct"/>
            <w:tcBorders>
              <w:top w:val="single" w:sz="4" w:space="0" w:color="auto"/>
              <w:bottom w:val="single" w:sz="4" w:space="0" w:color="auto"/>
            </w:tcBorders>
            <w:shd w:val="clear" w:color="auto" w:fill="auto"/>
            <w:noWrap/>
            <w:vAlign w:val="bottom"/>
          </w:tcPr>
          <w:p w:rsidR="00544CED" w:rsidRDefault="00544CED" w:rsidP="00544CED">
            <w:pPr>
              <w:pStyle w:val="NoSpacing"/>
              <w:jc w:val="center"/>
            </w:pPr>
            <w:r>
              <w:t>656</w:t>
            </w:r>
          </w:p>
        </w:tc>
      </w:tr>
    </w:tbl>
    <w:p w:rsidR="00544CED" w:rsidRDefault="00544CED" w:rsidP="00544CED">
      <w:pPr>
        <w:pStyle w:val="NoSpacing"/>
      </w:pPr>
    </w:p>
    <w:p w:rsidR="00544CED" w:rsidRDefault="00544CED" w:rsidP="00544CED">
      <w:pPr>
        <w:pStyle w:val="NoSpacing"/>
      </w:pPr>
      <w:r>
        <w:rPr>
          <w:noProof/>
          <w:lang w:val="en-US"/>
        </w:rPr>
        <w:drawing>
          <wp:inline distT="0" distB="0" distL="0" distR="0" wp14:anchorId="2CD9FB6B" wp14:editId="418F075F">
            <wp:extent cx="4572000" cy="2743200"/>
            <wp:effectExtent l="0" t="0" r="19050"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44CED" w:rsidRDefault="00544CED" w:rsidP="00544CED">
      <w:pPr>
        <w:pStyle w:val="NoSpacing"/>
      </w:pPr>
    </w:p>
    <w:p w:rsidR="00544CED" w:rsidRDefault="00544CED" w:rsidP="00544CED">
      <w:pPr>
        <w:pStyle w:val="NoSpacing"/>
      </w:pPr>
      <w:r>
        <w:rPr>
          <w:noProof/>
          <w:lang w:val="en-US"/>
        </w:rPr>
        <w:drawing>
          <wp:inline distT="0" distB="0" distL="0" distR="0" wp14:anchorId="271A96A3" wp14:editId="4211BDDC">
            <wp:extent cx="4572000" cy="2743200"/>
            <wp:effectExtent l="0" t="0" r="19050" b="1905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44CED" w:rsidRDefault="00544CED" w:rsidP="00544CED">
      <w:pPr>
        <w:pStyle w:val="NoSpacing"/>
      </w:pPr>
    </w:p>
    <w:p w:rsidR="00544CED" w:rsidRDefault="00544CED" w:rsidP="00544CED">
      <w:pPr>
        <w:pStyle w:val="NoSpacing"/>
      </w:pPr>
    </w:p>
    <w:p w:rsidR="002E4633" w:rsidRDefault="002E4633">
      <w:pPr>
        <w:rPr>
          <w:rFonts w:ascii="Verdana" w:hAnsi="Verdana"/>
          <w:i/>
          <w:sz w:val="17"/>
          <w:lang w:val="en-GB"/>
        </w:rPr>
      </w:pPr>
      <w:r>
        <w:rPr>
          <w:i/>
        </w:rPr>
        <w:br w:type="page"/>
      </w:r>
    </w:p>
    <w:p w:rsidR="00544CED" w:rsidRPr="00544CED" w:rsidRDefault="00544CED" w:rsidP="00544CED">
      <w:pPr>
        <w:pStyle w:val="NoSpacing"/>
        <w:rPr>
          <w:i/>
        </w:rPr>
      </w:pPr>
      <w:r w:rsidRPr="00544CED">
        <w:rPr>
          <w:i/>
        </w:rPr>
        <w:lastRenderedPageBreak/>
        <w:t xml:space="preserve">Stover yield </w:t>
      </w:r>
    </w:p>
    <w:tbl>
      <w:tblPr>
        <w:tblW w:w="5000" w:type="pct"/>
        <w:tblBorders>
          <w:top w:val="single" w:sz="4" w:space="0" w:color="auto"/>
          <w:bottom w:val="single" w:sz="4" w:space="0" w:color="auto"/>
        </w:tblBorders>
        <w:tblLook w:val="04A0" w:firstRow="1" w:lastRow="0" w:firstColumn="1" w:lastColumn="0" w:noHBand="0" w:noVBand="1"/>
      </w:tblPr>
      <w:tblGrid>
        <w:gridCol w:w="1383"/>
        <w:gridCol w:w="916"/>
        <w:gridCol w:w="746"/>
        <w:gridCol w:w="657"/>
        <w:gridCol w:w="1136"/>
        <w:gridCol w:w="1394"/>
        <w:gridCol w:w="649"/>
        <w:gridCol w:w="931"/>
        <w:gridCol w:w="894"/>
        <w:gridCol w:w="916"/>
      </w:tblGrid>
      <w:tr w:rsidR="00544CED" w:rsidRPr="002464DF" w:rsidTr="00544CED">
        <w:trPr>
          <w:trHeight w:val="300"/>
        </w:trPr>
        <w:tc>
          <w:tcPr>
            <w:tcW w:w="720" w:type="pct"/>
            <w:tcBorders>
              <w:top w:val="single" w:sz="4" w:space="0" w:color="auto"/>
              <w:bottom w:val="single" w:sz="4" w:space="0" w:color="auto"/>
            </w:tcBorders>
            <w:vAlign w:val="bottom"/>
          </w:tcPr>
          <w:p w:rsidR="00544CED" w:rsidRPr="002464DF" w:rsidRDefault="00544CED" w:rsidP="000D000C">
            <w:pPr>
              <w:pStyle w:val="NoSpacing"/>
            </w:pPr>
          </w:p>
        </w:tc>
        <w:tc>
          <w:tcPr>
            <w:tcW w:w="476" w:type="pct"/>
            <w:tcBorders>
              <w:top w:val="single" w:sz="4" w:space="0" w:color="auto"/>
              <w:bottom w:val="single" w:sz="4" w:space="0" w:color="auto"/>
            </w:tcBorders>
            <w:shd w:val="clear" w:color="auto" w:fill="auto"/>
            <w:noWrap/>
            <w:vAlign w:val="bottom"/>
            <w:hideMark/>
          </w:tcPr>
          <w:p w:rsidR="00544CED" w:rsidRPr="002464DF" w:rsidRDefault="00544CED" w:rsidP="000D000C">
            <w:pPr>
              <w:pStyle w:val="NoSpacing"/>
            </w:pPr>
          </w:p>
        </w:tc>
        <w:tc>
          <w:tcPr>
            <w:tcW w:w="389" w:type="pct"/>
            <w:tcBorders>
              <w:top w:val="single" w:sz="4" w:space="0" w:color="auto"/>
              <w:bottom w:val="single" w:sz="4" w:space="0" w:color="auto"/>
            </w:tcBorders>
            <w:shd w:val="clear" w:color="auto" w:fill="auto"/>
            <w:noWrap/>
            <w:vAlign w:val="bottom"/>
            <w:hideMark/>
          </w:tcPr>
          <w:p w:rsidR="00544CED" w:rsidRPr="002464DF" w:rsidRDefault="00544CED" w:rsidP="000D000C">
            <w:pPr>
              <w:pStyle w:val="NoSpacing"/>
              <w:jc w:val="center"/>
            </w:pPr>
            <w:r>
              <w:t>None</w:t>
            </w:r>
          </w:p>
        </w:tc>
        <w:tc>
          <w:tcPr>
            <w:tcW w:w="343" w:type="pct"/>
            <w:tcBorders>
              <w:top w:val="single" w:sz="4" w:space="0" w:color="auto"/>
              <w:bottom w:val="single" w:sz="4" w:space="0" w:color="auto"/>
            </w:tcBorders>
            <w:shd w:val="clear" w:color="auto" w:fill="auto"/>
            <w:noWrap/>
            <w:vAlign w:val="bottom"/>
            <w:hideMark/>
          </w:tcPr>
          <w:p w:rsidR="00544CED" w:rsidRPr="002464DF" w:rsidRDefault="00544CED" w:rsidP="000D000C">
            <w:pPr>
              <w:pStyle w:val="NoSpacing"/>
              <w:jc w:val="center"/>
            </w:pPr>
            <w:r w:rsidRPr="002464DF">
              <w:t>DAP</w:t>
            </w:r>
          </w:p>
        </w:tc>
        <w:tc>
          <w:tcPr>
            <w:tcW w:w="592" w:type="pct"/>
            <w:tcBorders>
              <w:top w:val="single" w:sz="4" w:space="0" w:color="auto"/>
              <w:bottom w:val="single" w:sz="4" w:space="0" w:color="auto"/>
            </w:tcBorders>
            <w:shd w:val="clear" w:color="auto" w:fill="auto"/>
            <w:noWrap/>
            <w:vAlign w:val="bottom"/>
            <w:hideMark/>
          </w:tcPr>
          <w:p w:rsidR="00544CED" w:rsidRPr="002464DF" w:rsidRDefault="00544CED" w:rsidP="000D000C">
            <w:pPr>
              <w:pStyle w:val="NoSpacing"/>
              <w:jc w:val="center"/>
            </w:pPr>
            <w:r w:rsidRPr="002464DF">
              <w:t>MRP-DUST</w:t>
            </w:r>
          </w:p>
        </w:tc>
        <w:tc>
          <w:tcPr>
            <w:tcW w:w="724" w:type="pct"/>
            <w:tcBorders>
              <w:top w:val="single" w:sz="4" w:space="0" w:color="auto"/>
              <w:bottom w:val="single" w:sz="4" w:space="0" w:color="auto"/>
            </w:tcBorders>
            <w:shd w:val="clear" w:color="auto" w:fill="auto"/>
            <w:noWrap/>
            <w:vAlign w:val="bottom"/>
            <w:hideMark/>
          </w:tcPr>
          <w:p w:rsidR="00544CED" w:rsidRPr="002464DF" w:rsidRDefault="00544CED" w:rsidP="000D000C">
            <w:pPr>
              <w:pStyle w:val="NoSpacing"/>
              <w:jc w:val="center"/>
            </w:pPr>
            <w:r w:rsidRPr="002464DF">
              <w:t>MRP-PALLETS</w:t>
            </w:r>
          </w:p>
        </w:tc>
        <w:tc>
          <w:tcPr>
            <w:tcW w:w="330" w:type="pct"/>
            <w:tcBorders>
              <w:top w:val="single" w:sz="4" w:space="0" w:color="auto"/>
              <w:bottom w:val="single" w:sz="4" w:space="0" w:color="auto"/>
            </w:tcBorders>
            <w:shd w:val="clear" w:color="auto" w:fill="auto"/>
            <w:noWrap/>
            <w:vAlign w:val="bottom"/>
            <w:hideMark/>
          </w:tcPr>
          <w:p w:rsidR="00544CED" w:rsidRPr="002464DF" w:rsidRDefault="00544CED" w:rsidP="000D000C">
            <w:pPr>
              <w:pStyle w:val="NoSpacing"/>
              <w:jc w:val="center"/>
            </w:pPr>
            <w:r w:rsidRPr="002464DF">
              <w:t>TSP</w:t>
            </w:r>
          </w:p>
        </w:tc>
        <w:tc>
          <w:tcPr>
            <w:tcW w:w="485" w:type="pct"/>
            <w:tcBorders>
              <w:top w:val="single" w:sz="4" w:space="0" w:color="auto"/>
              <w:bottom w:val="single" w:sz="4" w:space="0" w:color="auto"/>
            </w:tcBorders>
            <w:shd w:val="clear" w:color="auto" w:fill="auto"/>
            <w:noWrap/>
            <w:vAlign w:val="bottom"/>
            <w:hideMark/>
          </w:tcPr>
          <w:p w:rsidR="00544CED" w:rsidRPr="002464DF" w:rsidRDefault="00544CED" w:rsidP="000D000C">
            <w:pPr>
              <w:pStyle w:val="NoSpacing"/>
              <w:jc w:val="center"/>
            </w:pPr>
            <w:r w:rsidRPr="002464DF">
              <w:t>TSP/</w:t>
            </w:r>
            <w:proofErr w:type="spellStart"/>
            <w:r w:rsidRPr="002464DF">
              <w:t>KC</w:t>
            </w:r>
            <w:r>
              <w:t>l</w:t>
            </w:r>
            <w:proofErr w:type="spellEnd"/>
          </w:p>
        </w:tc>
        <w:tc>
          <w:tcPr>
            <w:tcW w:w="465" w:type="pct"/>
            <w:tcBorders>
              <w:top w:val="single" w:sz="4" w:space="0" w:color="auto"/>
              <w:bottom w:val="single" w:sz="4" w:space="0" w:color="auto"/>
            </w:tcBorders>
            <w:shd w:val="clear" w:color="auto" w:fill="auto"/>
            <w:noWrap/>
            <w:vAlign w:val="bottom"/>
            <w:hideMark/>
          </w:tcPr>
          <w:p w:rsidR="00544CED" w:rsidRPr="002464DF" w:rsidRDefault="00544CED" w:rsidP="000D000C">
            <w:pPr>
              <w:pStyle w:val="NoSpacing"/>
              <w:jc w:val="center"/>
            </w:pPr>
            <w:r w:rsidRPr="002464DF">
              <w:t>SYMPAL</w:t>
            </w:r>
          </w:p>
        </w:tc>
        <w:tc>
          <w:tcPr>
            <w:tcW w:w="476" w:type="pct"/>
            <w:tcBorders>
              <w:top w:val="single" w:sz="4" w:space="0" w:color="auto"/>
              <w:bottom w:val="single" w:sz="4" w:space="0" w:color="auto"/>
            </w:tcBorders>
            <w:shd w:val="clear" w:color="auto" w:fill="auto"/>
            <w:noWrap/>
            <w:vAlign w:val="bottom"/>
            <w:hideMark/>
          </w:tcPr>
          <w:p w:rsidR="00544CED" w:rsidRPr="002464DF" w:rsidRDefault="00544CED" w:rsidP="000D000C">
            <w:pPr>
              <w:pStyle w:val="NoSpacing"/>
              <w:jc w:val="center"/>
            </w:pPr>
            <w:r w:rsidRPr="002464DF">
              <w:t>Average</w:t>
            </w:r>
          </w:p>
        </w:tc>
      </w:tr>
      <w:tr w:rsidR="00544CED" w:rsidRPr="002464DF" w:rsidTr="000D000C">
        <w:trPr>
          <w:trHeight w:val="300"/>
        </w:trPr>
        <w:tc>
          <w:tcPr>
            <w:tcW w:w="721" w:type="pct"/>
            <w:vMerge w:val="restart"/>
            <w:tcBorders>
              <w:top w:val="single" w:sz="4" w:space="0" w:color="auto"/>
            </w:tcBorders>
            <w:vAlign w:val="center"/>
          </w:tcPr>
          <w:p w:rsidR="00544CED" w:rsidRPr="002464DF" w:rsidRDefault="00544CED" w:rsidP="000D000C">
            <w:pPr>
              <w:pStyle w:val="NoSpacing"/>
            </w:pPr>
            <w:r>
              <w:t>Without lime</w:t>
            </w:r>
          </w:p>
        </w:tc>
        <w:tc>
          <w:tcPr>
            <w:tcW w:w="476" w:type="pct"/>
            <w:tcBorders>
              <w:top w:val="single" w:sz="4" w:space="0" w:color="auto"/>
            </w:tcBorders>
            <w:shd w:val="clear" w:color="auto" w:fill="auto"/>
            <w:noWrap/>
            <w:vAlign w:val="bottom"/>
            <w:hideMark/>
          </w:tcPr>
          <w:p w:rsidR="00544CED" w:rsidRPr="002464DF" w:rsidRDefault="00544CED" w:rsidP="000D000C">
            <w:pPr>
              <w:pStyle w:val="NoSpacing"/>
            </w:pPr>
            <w:r w:rsidRPr="002464DF">
              <w:t xml:space="preserve">- </w:t>
            </w:r>
            <w:proofErr w:type="spellStart"/>
            <w:r w:rsidRPr="002464DF">
              <w:t>inoc</w:t>
            </w:r>
            <w:proofErr w:type="spellEnd"/>
          </w:p>
        </w:tc>
        <w:tc>
          <w:tcPr>
            <w:tcW w:w="389" w:type="pct"/>
            <w:tcBorders>
              <w:top w:val="single" w:sz="4" w:space="0" w:color="auto"/>
            </w:tcBorders>
            <w:shd w:val="clear" w:color="auto" w:fill="auto"/>
            <w:noWrap/>
            <w:vAlign w:val="bottom"/>
          </w:tcPr>
          <w:p w:rsidR="00544CED" w:rsidRDefault="00544CED" w:rsidP="00544CED">
            <w:pPr>
              <w:pStyle w:val="NoSpacing"/>
              <w:jc w:val="center"/>
            </w:pPr>
            <w:r>
              <w:t>731</w:t>
            </w:r>
          </w:p>
        </w:tc>
        <w:tc>
          <w:tcPr>
            <w:tcW w:w="343" w:type="pct"/>
            <w:tcBorders>
              <w:top w:val="single" w:sz="4" w:space="0" w:color="auto"/>
            </w:tcBorders>
            <w:shd w:val="clear" w:color="auto" w:fill="auto"/>
            <w:noWrap/>
            <w:vAlign w:val="bottom"/>
          </w:tcPr>
          <w:p w:rsidR="00544CED" w:rsidRDefault="00544CED" w:rsidP="00544CED">
            <w:pPr>
              <w:pStyle w:val="NoSpacing"/>
              <w:jc w:val="center"/>
            </w:pPr>
            <w:r>
              <w:t>789</w:t>
            </w:r>
          </w:p>
        </w:tc>
        <w:tc>
          <w:tcPr>
            <w:tcW w:w="592" w:type="pct"/>
            <w:tcBorders>
              <w:top w:val="single" w:sz="4" w:space="0" w:color="auto"/>
            </w:tcBorders>
            <w:shd w:val="clear" w:color="auto" w:fill="auto"/>
            <w:noWrap/>
            <w:vAlign w:val="bottom"/>
          </w:tcPr>
          <w:p w:rsidR="00544CED" w:rsidRDefault="00544CED" w:rsidP="00544CED">
            <w:pPr>
              <w:pStyle w:val="NoSpacing"/>
              <w:jc w:val="center"/>
            </w:pPr>
            <w:r>
              <w:t>1056</w:t>
            </w:r>
          </w:p>
        </w:tc>
        <w:tc>
          <w:tcPr>
            <w:tcW w:w="724" w:type="pct"/>
            <w:tcBorders>
              <w:top w:val="single" w:sz="4" w:space="0" w:color="auto"/>
            </w:tcBorders>
            <w:shd w:val="clear" w:color="auto" w:fill="auto"/>
            <w:noWrap/>
            <w:vAlign w:val="bottom"/>
          </w:tcPr>
          <w:p w:rsidR="00544CED" w:rsidRDefault="00544CED" w:rsidP="00544CED">
            <w:pPr>
              <w:pStyle w:val="NoSpacing"/>
              <w:jc w:val="center"/>
            </w:pPr>
            <w:r>
              <w:t>784</w:t>
            </w:r>
          </w:p>
        </w:tc>
        <w:tc>
          <w:tcPr>
            <w:tcW w:w="330" w:type="pct"/>
            <w:tcBorders>
              <w:top w:val="single" w:sz="4" w:space="0" w:color="auto"/>
            </w:tcBorders>
            <w:shd w:val="clear" w:color="auto" w:fill="auto"/>
            <w:noWrap/>
            <w:vAlign w:val="bottom"/>
          </w:tcPr>
          <w:p w:rsidR="00544CED" w:rsidRDefault="00544CED" w:rsidP="00544CED">
            <w:pPr>
              <w:pStyle w:val="NoSpacing"/>
              <w:jc w:val="center"/>
            </w:pPr>
            <w:r>
              <w:t>1887</w:t>
            </w:r>
          </w:p>
        </w:tc>
        <w:tc>
          <w:tcPr>
            <w:tcW w:w="485" w:type="pct"/>
            <w:tcBorders>
              <w:top w:val="single" w:sz="4" w:space="0" w:color="auto"/>
            </w:tcBorders>
            <w:shd w:val="clear" w:color="auto" w:fill="auto"/>
            <w:noWrap/>
            <w:vAlign w:val="bottom"/>
          </w:tcPr>
          <w:p w:rsidR="00544CED" w:rsidRDefault="00544CED" w:rsidP="00544CED">
            <w:pPr>
              <w:pStyle w:val="NoSpacing"/>
              <w:jc w:val="center"/>
            </w:pPr>
            <w:r>
              <w:t>1178</w:t>
            </w:r>
          </w:p>
        </w:tc>
        <w:tc>
          <w:tcPr>
            <w:tcW w:w="465" w:type="pct"/>
            <w:tcBorders>
              <w:top w:val="single" w:sz="4" w:space="0" w:color="auto"/>
            </w:tcBorders>
            <w:shd w:val="clear" w:color="auto" w:fill="auto"/>
            <w:noWrap/>
            <w:vAlign w:val="bottom"/>
          </w:tcPr>
          <w:p w:rsidR="00544CED" w:rsidRDefault="00544CED" w:rsidP="00544CED">
            <w:pPr>
              <w:pStyle w:val="NoSpacing"/>
              <w:jc w:val="center"/>
            </w:pPr>
            <w:r>
              <w:t>1376</w:t>
            </w:r>
          </w:p>
        </w:tc>
        <w:tc>
          <w:tcPr>
            <w:tcW w:w="476" w:type="pct"/>
            <w:tcBorders>
              <w:top w:val="single" w:sz="4" w:space="0" w:color="auto"/>
            </w:tcBorders>
            <w:shd w:val="clear" w:color="auto" w:fill="auto"/>
            <w:noWrap/>
            <w:vAlign w:val="bottom"/>
          </w:tcPr>
          <w:p w:rsidR="00544CED" w:rsidRDefault="00544CED" w:rsidP="00544CED">
            <w:pPr>
              <w:pStyle w:val="NoSpacing"/>
              <w:jc w:val="center"/>
            </w:pPr>
            <w:r>
              <w:t>1114</w:t>
            </w:r>
          </w:p>
        </w:tc>
      </w:tr>
      <w:tr w:rsidR="00544CED" w:rsidRPr="002464DF" w:rsidTr="00544CED">
        <w:trPr>
          <w:trHeight w:val="300"/>
        </w:trPr>
        <w:tc>
          <w:tcPr>
            <w:tcW w:w="720" w:type="pct"/>
            <w:vMerge/>
            <w:vAlign w:val="center"/>
          </w:tcPr>
          <w:p w:rsidR="00544CED" w:rsidRPr="002464DF" w:rsidRDefault="00544CED" w:rsidP="000D000C">
            <w:pPr>
              <w:pStyle w:val="NoSpacing"/>
            </w:pPr>
          </w:p>
        </w:tc>
        <w:tc>
          <w:tcPr>
            <w:tcW w:w="476" w:type="pct"/>
            <w:shd w:val="clear" w:color="auto" w:fill="auto"/>
            <w:noWrap/>
            <w:vAlign w:val="bottom"/>
            <w:hideMark/>
          </w:tcPr>
          <w:p w:rsidR="00544CED" w:rsidRPr="002464DF" w:rsidRDefault="00544CED" w:rsidP="000D000C">
            <w:pPr>
              <w:pStyle w:val="NoSpacing"/>
            </w:pPr>
            <w:r w:rsidRPr="002464DF">
              <w:t xml:space="preserve">+ </w:t>
            </w:r>
            <w:proofErr w:type="spellStart"/>
            <w:r w:rsidRPr="002464DF">
              <w:t>inoc</w:t>
            </w:r>
            <w:proofErr w:type="spellEnd"/>
          </w:p>
        </w:tc>
        <w:tc>
          <w:tcPr>
            <w:tcW w:w="389" w:type="pct"/>
            <w:shd w:val="clear" w:color="auto" w:fill="auto"/>
            <w:noWrap/>
            <w:vAlign w:val="bottom"/>
          </w:tcPr>
          <w:p w:rsidR="00544CED" w:rsidRDefault="00544CED" w:rsidP="00544CED">
            <w:pPr>
              <w:pStyle w:val="NoSpacing"/>
              <w:jc w:val="center"/>
            </w:pPr>
            <w:r>
              <w:t>732</w:t>
            </w:r>
          </w:p>
        </w:tc>
        <w:tc>
          <w:tcPr>
            <w:tcW w:w="343" w:type="pct"/>
            <w:shd w:val="clear" w:color="auto" w:fill="auto"/>
            <w:noWrap/>
            <w:vAlign w:val="bottom"/>
          </w:tcPr>
          <w:p w:rsidR="00544CED" w:rsidRDefault="00544CED" w:rsidP="00544CED">
            <w:pPr>
              <w:pStyle w:val="NoSpacing"/>
              <w:jc w:val="center"/>
            </w:pPr>
            <w:r>
              <w:t>1237</w:t>
            </w:r>
          </w:p>
        </w:tc>
        <w:tc>
          <w:tcPr>
            <w:tcW w:w="592" w:type="pct"/>
            <w:shd w:val="clear" w:color="auto" w:fill="auto"/>
            <w:noWrap/>
            <w:vAlign w:val="bottom"/>
          </w:tcPr>
          <w:p w:rsidR="00544CED" w:rsidRDefault="00544CED" w:rsidP="00544CED">
            <w:pPr>
              <w:pStyle w:val="NoSpacing"/>
              <w:jc w:val="center"/>
            </w:pPr>
            <w:r>
              <w:t>781</w:t>
            </w:r>
          </w:p>
        </w:tc>
        <w:tc>
          <w:tcPr>
            <w:tcW w:w="724" w:type="pct"/>
            <w:shd w:val="clear" w:color="auto" w:fill="auto"/>
            <w:noWrap/>
            <w:vAlign w:val="bottom"/>
          </w:tcPr>
          <w:p w:rsidR="00544CED" w:rsidRDefault="00544CED" w:rsidP="00544CED">
            <w:pPr>
              <w:pStyle w:val="NoSpacing"/>
              <w:jc w:val="center"/>
            </w:pPr>
            <w:r>
              <w:t>846</w:t>
            </w:r>
          </w:p>
        </w:tc>
        <w:tc>
          <w:tcPr>
            <w:tcW w:w="330" w:type="pct"/>
            <w:shd w:val="clear" w:color="auto" w:fill="auto"/>
            <w:noWrap/>
            <w:vAlign w:val="bottom"/>
          </w:tcPr>
          <w:p w:rsidR="00544CED" w:rsidRDefault="00544CED" w:rsidP="00544CED">
            <w:pPr>
              <w:pStyle w:val="NoSpacing"/>
              <w:jc w:val="center"/>
            </w:pPr>
            <w:r>
              <w:t>797</w:t>
            </w:r>
          </w:p>
        </w:tc>
        <w:tc>
          <w:tcPr>
            <w:tcW w:w="485" w:type="pct"/>
            <w:shd w:val="clear" w:color="auto" w:fill="auto"/>
            <w:noWrap/>
            <w:vAlign w:val="bottom"/>
          </w:tcPr>
          <w:p w:rsidR="00544CED" w:rsidRDefault="00544CED" w:rsidP="00544CED">
            <w:pPr>
              <w:pStyle w:val="NoSpacing"/>
              <w:jc w:val="center"/>
            </w:pPr>
            <w:r>
              <w:t>1061</w:t>
            </w:r>
          </w:p>
        </w:tc>
        <w:tc>
          <w:tcPr>
            <w:tcW w:w="465" w:type="pct"/>
            <w:shd w:val="clear" w:color="auto" w:fill="auto"/>
            <w:noWrap/>
            <w:vAlign w:val="bottom"/>
          </w:tcPr>
          <w:p w:rsidR="00544CED" w:rsidRDefault="00544CED" w:rsidP="00544CED">
            <w:pPr>
              <w:pStyle w:val="NoSpacing"/>
              <w:jc w:val="center"/>
            </w:pPr>
            <w:r>
              <w:t>1137</w:t>
            </w:r>
          </w:p>
        </w:tc>
        <w:tc>
          <w:tcPr>
            <w:tcW w:w="476" w:type="pct"/>
            <w:shd w:val="clear" w:color="auto" w:fill="auto"/>
            <w:noWrap/>
            <w:vAlign w:val="bottom"/>
          </w:tcPr>
          <w:p w:rsidR="00544CED" w:rsidRDefault="00544CED" w:rsidP="00544CED">
            <w:pPr>
              <w:pStyle w:val="NoSpacing"/>
              <w:jc w:val="center"/>
            </w:pPr>
            <w:r>
              <w:t>942</w:t>
            </w:r>
          </w:p>
        </w:tc>
      </w:tr>
      <w:tr w:rsidR="00544CED" w:rsidRPr="002464DF" w:rsidTr="00544CED">
        <w:trPr>
          <w:trHeight w:val="300"/>
        </w:trPr>
        <w:tc>
          <w:tcPr>
            <w:tcW w:w="720" w:type="pct"/>
            <w:vMerge w:val="restart"/>
            <w:vAlign w:val="center"/>
          </w:tcPr>
          <w:p w:rsidR="00544CED" w:rsidRPr="002464DF" w:rsidRDefault="00544CED" w:rsidP="000D000C">
            <w:pPr>
              <w:pStyle w:val="NoSpacing"/>
            </w:pPr>
            <w:r>
              <w:t>With lime</w:t>
            </w:r>
          </w:p>
        </w:tc>
        <w:tc>
          <w:tcPr>
            <w:tcW w:w="476" w:type="pct"/>
            <w:shd w:val="clear" w:color="auto" w:fill="auto"/>
            <w:noWrap/>
            <w:vAlign w:val="bottom"/>
            <w:hideMark/>
          </w:tcPr>
          <w:p w:rsidR="00544CED" w:rsidRPr="002464DF" w:rsidRDefault="00544CED" w:rsidP="000D000C">
            <w:pPr>
              <w:pStyle w:val="NoSpacing"/>
            </w:pPr>
            <w:r w:rsidRPr="002464DF">
              <w:t xml:space="preserve">- </w:t>
            </w:r>
            <w:proofErr w:type="spellStart"/>
            <w:r w:rsidRPr="002464DF">
              <w:t>inoc</w:t>
            </w:r>
            <w:proofErr w:type="spellEnd"/>
          </w:p>
        </w:tc>
        <w:tc>
          <w:tcPr>
            <w:tcW w:w="389" w:type="pct"/>
            <w:shd w:val="clear" w:color="auto" w:fill="auto"/>
            <w:noWrap/>
            <w:vAlign w:val="bottom"/>
          </w:tcPr>
          <w:p w:rsidR="00544CED" w:rsidRDefault="00544CED" w:rsidP="00544CED">
            <w:pPr>
              <w:pStyle w:val="NoSpacing"/>
              <w:jc w:val="center"/>
            </w:pPr>
            <w:r>
              <w:t>912</w:t>
            </w:r>
          </w:p>
        </w:tc>
        <w:tc>
          <w:tcPr>
            <w:tcW w:w="343" w:type="pct"/>
            <w:shd w:val="clear" w:color="auto" w:fill="auto"/>
            <w:noWrap/>
            <w:vAlign w:val="bottom"/>
          </w:tcPr>
          <w:p w:rsidR="00544CED" w:rsidRDefault="00544CED" w:rsidP="00544CED">
            <w:pPr>
              <w:pStyle w:val="NoSpacing"/>
              <w:jc w:val="center"/>
            </w:pPr>
            <w:r>
              <w:t>1763</w:t>
            </w:r>
          </w:p>
        </w:tc>
        <w:tc>
          <w:tcPr>
            <w:tcW w:w="592" w:type="pct"/>
            <w:shd w:val="clear" w:color="auto" w:fill="auto"/>
            <w:noWrap/>
            <w:vAlign w:val="bottom"/>
          </w:tcPr>
          <w:p w:rsidR="00544CED" w:rsidRDefault="00544CED" w:rsidP="00544CED">
            <w:pPr>
              <w:pStyle w:val="NoSpacing"/>
              <w:jc w:val="center"/>
            </w:pPr>
            <w:r>
              <w:t>722</w:t>
            </w:r>
          </w:p>
        </w:tc>
        <w:tc>
          <w:tcPr>
            <w:tcW w:w="724" w:type="pct"/>
            <w:shd w:val="clear" w:color="auto" w:fill="auto"/>
            <w:noWrap/>
            <w:vAlign w:val="bottom"/>
          </w:tcPr>
          <w:p w:rsidR="00544CED" w:rsidRDefault="00544CED" w:rsidP="00544CED">
            <w:pPr>
              <w:pStyle w:val="NoSpacing"/>
              <w:jc w:val="center"/>
            </w:pPr>
            <w:r>
              <w:t>823</w:t>
            </w:r>
          </w:p>
        </w:tc>
        <w:tc>
          <w:tcPr>
            <w:tcW w:w="330" w:type="pct"/>
            <w:shd w:val="clear" w:color="auto" w:fill="auto"/>
            <w:noWrap/>
            <w:vAlign w:val="bottom"/>
          </w:tcPr>
          <w:p w:rsidR="00544CED" w:rsidRDefault="00544CED" w:rsidP="00544CED">
            <w:pPr>
              <w:pStyle w:val="NoSpacing"/>
              <w:jc w:val="center"/>
            </w:pPr>
            <w:r>
              <w:t>1294</w:t>
            </w:r>
          </w:p>
        </w:tc>
        <w:tc>
          <w:tcPr>
            <w:tcW w:w="485" w:type="pct"/>
            <w:shd w:val="clear" w:color="auto" w:fill="auto"/>
            <w:noWrap/>
            <w:vAlign w:val="bottom"/>
          </w:tcPr>
          <w:p w:rsidR="00544CED" w:rsidRDefault="00544CED" w:rsidP="00544CED">
            <w:pPr>
              <w:pStyle w:val="NoSpacing"/>
              <w:jc w:val="center"/>
            </w:pPr>
            <w:r>
              <w:t>901</w:t>
            </w:r>
          </w:p>
        </w:tc>
        <w:tc>
          <w:tcPr>
            <w:tcW w:w="465" w:type="pct"/>
            <w:shd w:val="clear" w:color="auto" w:fill="auto"/>
            <w:noWrap/>
            <w:vAlign w:val="bottom"/>
          </w:tcPr>
          <w:p w:rsidR="00544CED" w:rsidRDefault="00544CED" w:rsidP="00544CED">
            <w:pPr>
              <w:pStyle w:val="NoSpacing"/>
              <w:jc w:val="center"/>
            </w:pPr>
            <w:r>
              <w:t>1132</w:t>
            </w:r>
          </w:p>
        </w:tc>
        <w:tc>
          <w:tcPr>
            <w:tcW w:w="476" w:type="pct"/>
            <w:shd w:val="clear" w:color="auto" w:fill="auto"/>
            <w:noWrap/>
            <w:vAlign w:val="bottom"/>
          </w:tcPr>
          <w:p w:rsidR="00544CED" w:rsidRDefault="00544CED" w:rsidP="00544CED">
            <w:pPr>
              <w:pStyle w:val="NoSpacing"/>
              <w:jc w:val="center"/>
            </w:pPr>
            <w:r>
              <w:t>1078</w:t>
            </w:r>
          </w:p>
        </w:tc>
      </w:tr>
      <w:tr w:rsidR="00544CED" w:rsidRPr="002464DF" w:rsidTr="00544CED">
        <w:trPr>
          <w:trHeight w:val="300"/>
        </w:trPr>
        <w:tc>
          <w:tcPr>
            <w:tcW w:w="720" w:type="pct"/>
            <w:vMerge/>
            <w:tcBorders>
              <w:bottom w:val="single" w:sz="4" w:space="0" w:color="auto"/>
            </w:tcBorders>
            <w:vAlign w:val="bottom"/>
          </w:tcPr>
          <w:p w:rsidR="00544CED" w:rsidRPr="002464DF" w:rsidRDefault="00544CED" w:rsidP="000D000C">
            <w:pPr>
              <w:pStyle w:val="NoSpacing"/>
            </w:pPr>
          </w:p>
        </w:tc>
        <w:tc>
          <w:tcPr>
            <w:tcW w:w="476" w:type="pct"/>
            <w:tcBorders>
              <w:bottom w:val="single" w:sz="4" w:space="0" w:color="auto"/>
            </w:tcBorders>
            <w:shd w:val="clear" w:color="auto" w:fill="auto"/>
            <w:noWrap/>
            <w:vAlign w:val="bottom"/>
            <w:hideMark/>
          </w:tcPr>
          <w:p w:rsidR="00544CED" w:rsidRPr="002464DF" w:rsidRDefault="00544CED" w:rsidP="000D000C">
            <w:pPr>
              <w:pStyle w:val="NoSpacing"/>
            </w:pPr>
            <w:r w:rsidRPr="002464DF">
              <w:t xml:space="preserve">+ </w:t>
            </w:r>
            <w:proofErr w:type="spellStart"/>
            <w:r w:rsidRPr="002464DF">
              <w:t>inoc</w:t>
            </w:r>
            <w:proofErr w:type="spellEnd"/>
          </w:p>
        </w:tc>
        <w:tc>
          <w:tcPr>
            <w:tcW w:w="389" w:type="pct"/>
            <w:tcBorders>
              <w:bottom w:val="single" w:sz="4" w:space="0" w:color="auto"/>
            </w:tcBorders>
            <w:shd w:val="clear" w:color="auto" w:fill="auto"/>
            <w:noWrap/>
            <w:vAlign w:val="bottom"/>
          </w:tcPr>
          <w:p w:rsidR="00544CED" w:rsidRDefault="00544CED" w:rsidP="00544CED">
            <w:pPr>
              <w:pStyle w:val="NoSpacing"/>
              <w:jc w:val="center"/>
            </w:pPr>
            <w:r>
              <w:t>690</w:t>
            </w:r>
          </w:p>
        </w:tc>
        <w:tc>
          <w:tcPr>
            <w:tcW w:w="343" w:type="pct"/>
            <w:tcBorders>
              <w:bottom w:val="single" w:sz="4" w:space="0" w:color="auto"/>
            </w:tcBorders>
            <w:shd w:val="clear" w:color="auto" w:fill="auto"/>
            <w:noWrap/>
            <w:vAlign w:val="bottom"/>
          </w:tcPr>
          <w:p w:rsidR="00544CED" w:rsidRDefault="00544CED" w:rsidP="00544CED">
            <w:pPr>
              <w:pStyle w:val="NoSpacing"/>
              <w:jc w:val="center"/>
            </w:pPr>
            <w:r>
              <w:t>1102</w:t>
            </w:r>
          </w:p>
        </w:tc>
        <w:tc>
          <w:tcPr>
            <w:tcW w:w="592" w:type="pct"/>
            <w:tcBorders>
              <w:bottom w:val="single" w:sz="4" w:space="0" w:color="auto"/>
            </w:tcBorders>
            <w:shd w:val="clear" w:color="auto" w:fill="auto"/>
            <w:noWrap/>
            <w:vAlign w:val="bottom"/>
          </w:tcPr>
          <w:p w:rsidR="00544CED" w:rsidRDefault="00544CED" w:rsidP="00544CED">
            <w:pPr>
              <w:pStyle w:val="NoSpacing"/>
              <w:jc w:val="center"/>
            </w:pPr>
            <w:r>
              <w:t>1100</w:t>
            </w:r>
          </w:p>
        </w:tc>
        <w:tc>
          <w:tcPr>
            <w:tcW w:w="724" w:type="pct"/>
            <w:tcBorders>
              <w:bottom w:val="single" w:sz="4" w:space="0" w:color="auto"/>
            </w:tcBorders>
            <w:shd w:val="clear" w:color="auto" w:fill="auto"/>
            <w:noWrap/>
            <w:vAlign w:val="bottom"/>
          </w:tcPr>
          <w:p w:rsidR="00544CED" w:rsidRDefault="00544CED" w:rsidP="00544CED">
            <w:pPr>
              <w:pStyle w:val="NoSpacing"/>
              <w:jc w:val="center"/>
            </w:pPr>
            <w:r>
              <w:t>856</w:t>
            </w:r>
          </w:p>
        </w:tc>
        <w:tc>
          <w:tcPr>
            <w:tcW w:w="330" w:type="pct"/>
            <w:tcBorders>
              <w:bottom w:val="single" w:sz="4" w:space="0" w:color="auto"/>
            </w:tcBorders>
            <w:shd w:val="clear" w:color="auto" w:fill="auto"/>
            <w:noWrap/>
            <w:vAlign w:val="bottom"/>
          </w:tcPr>
          <w:p w:rsidR="00544CED" w:rsidRDefault="00544CED" w:rsidP="00544CED">
            <w:pPr>
              <w:pStyle w:val="NoSpacing"/>
              <w:jc w:val="center"/>
            </w:pPr>
            <w:r>
              <w:t>1161</w:t>
            </w:r>
          </w:p>
        </w:tc>
        <w:tc>
          <w:tcPr>
            <w:tcW w:w="485" w:type="pct"/>
            <w:tcBorders>
              <w:bottom w:val="single" w:sz="4" w:space="0" w:color="auto"/>
            </w:tcBorders>
            <w:shd w:val="clear" w:color="auto" w:fill="auto"/>
            <w:noWrap/>
            <w:vAlign w:val="bottom"/>
          </w:tcPr>
          <w:p w:rsidR="00544CED" w:rsidRDefault="00544CED" w:rsidP="00544CED">
            <w:pPr>
              <w:pStyle w:val="NoSpacing"/>
              <w:jc w:val="center"/>
            </w:pPr>
            <w:r>
              <w:t>1047</w:t>
            </w:r>
          </w:p>
        </w:tc>
        <w:tc>
          <w:tcPr>
            <w:tcW w:w="465" w:type="pct"/>
            <w:tcBorders>
              <w:bottom w:val="single" w:sz="4" w:space="0" w:color="auto"/>
            </w:tcBorders>
            <w:shd w:val="clear" w:color="auto" w:fill="auto"/>
            <w:noWrap/>
            <w:vAlign w:val="bottom"/>
          </w:tcPr>
          <w:p w:rsidR="00544CED" w:rsidRDefault="00544CED" w:rsidP="00544CED">
            <w:pPr>
              <w:pStyle w:val="NoSpacing"/>
              <w:jc w:val="center"/>
            </w:pPr>
            <w:r>
              <w:t>1245</w:t>
            </w:r>
          </w:p>
        </w:tc>
        <w:tc>
          <w:tcPr>
            <w:tcW w:w="476" w:type="pct"/>
            <w:tcBorders>
              <w:bottom w:val="single" w:sz="4" w:space="0" w:color="auto"/>
            </w:tcBorders>
            <w:shd w:val="clear" w:color="auto" w:fill="auto"/>
            <w:noWrap/>
            <w:vAlign w:val="bottom"/>
          </w:tcPr>
          <w:p w:rsidR="00544CED" w:rsidRDefault="00544CED" w:rsidP="00544CED">
            <w:pPr>
              <w:pStyle w:val="NoSpacing"/>
              <w:jc w:val="center"/>
            </w:pPr>
            <w:r>
              <w:t>1029</w:t>
            </w:r>
          </w:p>
        </w:tc>
      </w:tr>
      <w:tr w:rsidR="00544CED" w:rsidRPr="002464DF" w:rsidTr="00544CED">
        <w:trPr>
          <w:trHeight w:val="300"/>
        </w:trPr>
        <w:tc>
          <w:tcPr>
            <w:tcW w:w="720" w:type="pct"/>
            <w:tcBorders>
              <w:top w:val="single" w:sz="4" w:space="0" w:color="auto"/>
              <w:bottom w:val="single" w:sz="4" w:space="0" w:color="auto"/>
            </w:tcBorders>
            <w:vAlign w:val="bottom"/>
          </w:tcPr>
          <w:p w:rsidR="00544CED" w:rsidRPr="002464DF" w:rsidRDefault="00544CED" w:rsidP="000D000C">
            <w:pPr>
              <w:pStyle w:val="NoSpacing"/>
            </w:pPr>
          </w:p>
        </w:tc>
        <w:tc>
          <w:tcPr>
            <w:tcW w:w="476" w:type="pct"/>
            <w:tcBorders>
              <w:top w:val="single" w:sz="4" w:space="0" w:color="auto"/>
              <w:bottom w:val="single" w:sz="4" w:space="0" w:color="auto"/>
            </w:tcBorders>
            <w:shd w:val="clear" w:color="auto" w:fill="auto"/>
            <w:noWrap/>
            <w:vAlign w:val="bottom"/>
            <w:hideMark/>
          </w:tcPr>
          <w:p w:rsidR="00544CED" w:rsidRPr="002464DF" w:rsidRDefault="00544CED" w:rsidP="000D000C">
            <w:pPr>
              <w:pStyle w:val="NoSpacing"/>
            </w:pPr>
            <w:r>
              <w:t>A</w:t>
            </w:r>
            <w:r w:rsidRPr="002464DF">
              <w:t>verage</w:t>
            </w:r>
          </w:p>
        </w:tc>
        <w:tc>
          <w:tcPr>
            <w:tcW w:w="389" w:type="pct"/>
            <w:tcBorders>
              <w:top w:val="single" w:sz="4" w:space="0" w:color="auto"/>
              <w:bottom w:val="single" w:sz="4" w:space="0" w:color="auto"/>
            </w:tcBorders>
            <w:shd w:val="clear" w:color="auto" w:fill="auto"/>
            <w:noWrap/>
            <w:vAlign w:val="bottom"/>
          </w:tcPr>
          <w:p w:rsidR="00544CED" w:rsidRDefault="00544CED" w:rsidP="00544CED">
            <w:pPr>
              <w:pStyle w:val="NoSpacing"/>
              <w:jc w:val="center"/>
            </w:pPr>
            <w:r>
              <w:t>766</w:t>
            </w:r>
          </w:p>
        </w:tc>
        <w:tc>
          <w:tcPr>
            <w:tcW w:w="343" w:type="pct"/>
            <w:tcBorders>
              <w:top w:val="single" w:sz="4" w:space="0" w:color="auto"/>
              <w:bottom w:val="single" w:sz="4" w:space="0" w:color="auto"/>
            </w:tcBorders>
            <w:shd w:val="clear" w:color="auto" w:fill="auto"/>
            <w:noWrap/>
            <w:vAlign w:val="bottom"/>
          </w:tcPr>
          <w:p w:rsidR="00544CED" w:rsidRDefault="00544CED" w:rsidP="00544CED">
            <w:pPr>
              <w:pStyle w:val="NoSpacing"/>
              <w:jc w:val="center"/>
            </w:pPr>
            <w:r>
              <w:t>1223</w:t>
            </w:r>
          </w:p>
        </w:tc>
        <w:tc>
          <w:tcPr>
            <w:tcW w:w="592" w:type="pct"/>
            <w:tcBorders>
              <w:top w:val="single" w:sz="4" w:space="0" w:color="auto"/>
              <w:bottom w:val="single" w:sz="4" w:space="0" w:color="auto"/>
            </w:tcBorders>
            <w:shd w:val="clear" w:color="auto" w:fill="auto"/>
            <w:noWrap/>
            <w:vAlign w:val="bottom"/>
          </w:tcPr>
          <w:p w:rsidR="00544CED" w:rsidRDefault="00544CED" w:rsidP="00544CED">
            <w:pPr>
              <w:pStyle w:val="NoSpacing"/>
              <w:jc w:val="center"/>
            </w:pPr>
            <w:r>
              <w:t>915</w:t>
            </w:r>
          </w:p>
        </w:tc>
        <w:tc>
          <w:tcPr>
            <w:tcW w:w="724" w:type="pct"/>
            <w:tcBorders>
              <w:top w:val="single" w:sz="4" w:space="0" w:color="auto"/>
              <w:bottom w:val="single" w:sz="4" w:space="0" w:color="auto"/>
            </w:tcBorders>
            <w:shd w:val="clear" w:color="auto" w:fill="auto"/>
            <w:noWrap/>
            <w:vAlign w:val="bottom"/>
          </w:tcPr>
          <w:p w:rsidR="00544CED" w:rsidRDefault="00544CED" w:rsidP="00544CED">
            <w:pPr>
              <w:pStyle w:val="NoSpacing"/>
              <w:jc w:val="center"/>
            </w:pPr>
            <w:r>
              <w:t>827</w:t>
            </w:r>
          </w:p>
        </w:tc>
        <w:tc>
          <w:tcPr>
            <w:tcW w:w="330" w:type="pct"/>
            <w:tcBorders>
              <w:top w:val="single" w:sz="4" w:space="0" w:color="auto"/>
              <w:bottom w:val="single" w:sz="4" w:space="0" w:color="auto"/>
            </w:tcBorders>
            <w:shd w:val="clear" w:color="auto" w:fill="auto"/>
            <w:noWrap/>
            <w:vAlign w:val="bottom"/>
          </w:tcPr>
          <w:p w:rsidR="00544CED" w:rsidRDefault="00544CED" w:rsidP="00544CED">
            <w:pPr>
              <w:pStyle w:val="NoSpacing"/>
              <w:jc w:val="center"/>
            </w:pPr>
            <w:r>
              <w:t>1285</w:t>
            </w:r>
          </w:p>
        </w:tc>
        <w:tc>
          <w:tcPr>
            <w:tcW w:w="485" w:type="pct"/>
            <w:tcBorders>
              <w:top w:val="single" w:sz="4" w:space="0" w:color="auto"/>
              <w:bottom w:val="single" w:sz="4" w:space="0" w:color="auto"/>
            </w:tcBorders>
            <w:shd w:val="clear" w:color="auto" w:fill="auto"/>
            <w:noWrap/>
            <w:vAlign w:val="bottom"/>
          </w:tcPr>
          <w:p w:rsidR="00544CED" w:rsidRDefault="00544CED" w:rsidP="00544CED">
            <w:pPr>
              <w:pStyle w:val="NoSpacing"/>
              <w:jc w:val="center"/>
            </w:pPr>
            <w:r>
              <w:t>1047</w:t>
            </w:r>
          </w:p>
        </w:tc>
        <w:tc>
          <w:tcPr>
            <w:tcW w:w="465" w:type="pct"/>
            <w:tcBorders>
              <w:top w:val="single" w:sz="4" w:space="0" w:color="auto"/>
              <w:bottom w:val="single" w:sz="4" w:space="0" w:color="auto"/>
            </w:tcBorders>
            <w:shd w:val="clear" w:color="auto" w:fill="auto"/>
            <w:noWrap/>
            <w:vAlign w:val="bottom"/>
          </w:tcPr>
          <w:p w:rsidR="00544CED" w:rsidRDefault="00544CED" w:rsidP="00544CED">
            <w:pPr>
              <w:pStyle w:val="NoSpacing"/>
              <w:jc w:val="center"/>
            </w:pPr>
            <w:r>
              <w:t>1223</w:t>
            </w:r>
          </w:p>
        </w:tc>
        <w:tc>
          <w:tcPr>
            <w:tcW w:w="476" w:type="pct"/>
            <w:tcBorders>
              <w:top w:val="single" w:sz="4" w:space="0" w:color="auto"/>
              <w:bottom w:val="single" w:sz="4" w:space="0" w:color="auto"/>
            </w:tcBorders>
            <w:shd w:val="clear" w:color="auto" w:fill="auto"/>
            <w:noWrap/>
            <w:vAlign w:val="bottom"/>
          </w:tcPr>
          <w:p w:rsidR="00544CED" w:rsidRDefault="00544CED" w:rsidP="00544CED">
            <w:pPr>
              <w:pStyle w:val="NoSpacing"/>
              <w:jc w:val="center"/>
            </w:pPr>
            <w:r>
              <w:t>1041</w:t>
            </w:r>
          </w:p>
        </w:tc>
      </w:tr>
    </w:tbl>
    <w:p w:rsidR="00544CED" w:rsidRDefault="00544CED" w:rsidP="00544CED">
      <w:pPr>
        <w:pStyle w:val="NoSpacing"/>
      </w:pPr>
    </w:p>
    <w:p w:rsidR="00544CED" w:rsidRDefault="00544CED">
      <w:r>
        <w:rPr>
          <w:noProof/>
        </w:rPr>
        <w:drawing>
          <wp:inline distT="0" distB="0" distL="0" distR="0" wp14:anchorId="3DAD882C" wp14:editId="454DE55D">
            <wp:extent cx="4572000" cy="2743200"/>
            <wp:effectExtent l="0" t="0" r="1905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44CED" w:rsidRDefault="00544CED" w:rsidP="00544CED">
      <w:pPr>
        <w:pStyle w:val="NoSpacing"/>
      </w:pPr>
      <w:r>
        <w:rPr>
          <w:noProof/>
          <w:lang w:val="en-US"/>
        </w:rPr>
        <w:drawing>
          <wp:inline distT="0" distB="0" distL="0" distR="0" wp14:anchorId="5864F168" wp14:editId="338E0DB4">
            <wp:extent cx="4572000" cy="2743200"/>
            <wp:effectExtent l="0" t="0" r="19050" b="1905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44CED" w:rsidRDefault="00544CED" w:rsidP="00544CED">
      <w:pPr>
        <w:pStyle w:val="NoSpacing"/>
      </w:pPr>
    </w:p>
    <w:p w:rsidR="00544CED" w:rsidRDefault="00544CED" w:rsidP="00544CED">
      <w:pPr>
        <w:pStyle w:val="NoSpacing"/>
      </w:pPr>
    </w:p>
    <w:p w:rsidR="000A7341" w:rsidRDefault="000A7341" w:rsidP="00544CED">
      <w:pPr>
        <w:pStyle w:val="NoSpacing"/>
      </w:pPr>
    </w:p>
    <w:p w:rsidR="000A7341" w:rsidRDefault="000A7341" w:rsidP="00544CED">
      <w:pPr>
        <w:pStyle w:val="NoSpacing"/>
      </w:pPr>
    </w:p>
    <w:p w:rsidR="008A3C37" w:rsidRDefault="008A3C37">
      <w:pPr>
        <w:rPr>
          <w:b/>
          <w:i/>
        </w:rPr>
      </w:pPr>
      <w:r>
        <w:rPr>
          <w:b/>
          <w:i/>
        </w:rPr>
        <w:br w:type="page"/>
      </w:r>
    </w:p>
    <w:p w:rsidR="000A7341" w:rsidRPr="008A3C37" w:rsidRDefault="000A7341" w:rsidP="008A3C37">
      <w:pPr>
        <w:pStyle w:val="NoSpacing"/>
        <w:rPr>
          <w:b/>
          <w:i/>
        </w:rPr>
      </w:pPr>
      <w:r w:rsidRPr="008A3C37">
        <w:rPr>
          <w:b/>
          <w:i/>
        </w:rPr>
        <w:lastRenderedPageBreak/>
        <w:t>Soybean input trial</w:t>
      </w:r>
    </w:p>
    <w:p w:rsidR="008A3C37" w:rsidRDefault="008A3C37" w:rsidP="000A7341">
      <w:pPr>
        <w:pStyle w:val="NoSpacing"/>
      </w:pPr>
    </w:p>
    <w:p w:rsidR="000A7341" w:rsidRPr="00544CED" w:rsidRDefault="000A7341" w:rsidP="000A7341">
      <w:pPr>
        <w:pStyle w:val="NoSpacing"/>
      </w:pPr>
      <w:r w:rsidRPr="00544CED">
        <w:t xml:space="preserve">Location: </w:t>
      </w:r>
      <w:proofErr w:type="spellStart"/>
      <w:r>
        <w:t>Butere</w:t>
      </w:r>
      <w:proofErr w:type="spellEnd"/>
    </w:p>
    <w:p w:rsidR="000A7341" w:rsidRPr="008A3C37" w:rsidRDefault="000A7341" w:rsidP="008A3C37">
      <w:pPr>
        <w:pStyle w:val="NoSpacing"/>
      </w:pPr>
      <w:r w:rsidRPr="00544CED">
        <w:t xml:space="preserve">GPS: </w:t>
      </w:r>
      <w:r w:rsidRPr="000A7341">
        <w:t>E</w:t>
      </w:r>
      <w:r w:rsidR="0079660C" w:rsidRPr="008A3C37">
        <w:t xml:space="preserve"> 34.44417</w:t>
      </w:r>
      <w:r w:rsidRPr="000A7341">
        <w:t>; N</w:t>
      </w:r>
      <w:r w:rsidR="0079660C" w:rsidRPr="008A3C37">
        <w:t xml:space="preserve"> 0.152167</w:t>
      </w:r>
      <w:r w:rsidRPr="000A7341">
        <w:t>; Elevation: 1343 m</w:t>
      </w:r>
    </w:p>
    <w:p w:rsidR="000A7341" w:rsidRPr="00544CED" w:rsidRDefault="000A7341" w:rsidP="000A7341">
      <w:pPr>
        <w:pStyle w:val="NoSpacing"/>
      </w:pPr>
      <w:r w:rsidRPr="00544CED">
        <w:t xml:space="preserve">Planting date: </w:t>
      </w:r>
      <w:r>
        <w:t>20-9-2011</w:t>
      </w:r>
    </w:p>
    <w:p w:rsidR="000A7341" w:rsidRPr="00544CED" w:rsidRDefault="000A7341" w:rsidP="000A7341">
      <w:pPr>
        <w:pStyle w:val="NoSpacing"/>
      </w:pPr>
      <w:r w:rsidRPr="00544CED">
        <w:t xml:space="preserve">Harvest date: </w:t>
      </w:r>
      <w:r>
        <w:t>13-1-2012</w:t>
      </w:r>
    </w:p>
    <w:p w:rsidR="000A7341" w:rsidRPr="00544CED" w:rsidRDefault="000A7341" w:rsidP="000A7341">
      <w:pPr>
        <w:pStyle w:val="NoSpacing"/>
      </w:pPr>
      <w:r w:rsidRPr="00544CED">
        <w:t xml:space="preserve">Variety: </w:t>
      </w:r>
      <w:r>
        <w:t>SB19</w:t>
      </w:r>
    </w:p>
    <w:p w:rsidR="000A7341" w:rsidRPr="00544CED" w:rsidRDefault="000A7341" w:rsidP="000A7341">
      <w:pPr>
        <w:pStyle w:val="NoSpacing"/>
      </w:pPr>
    </w:p>
    <w:p w:rsidR="000A7341" w:rsidRDefault="000A7341" w:rsidP="000A7341">
      <w:pPr>
        <w:pStyle w:val="NoSpacing"/>
      </w:pPr>
      <w:r w:rsidRPr="00544CED">
        <w:t>Remarks:</w:t>
      </w:r>
    </w:p>
    <w:p w:rsidR="000A7341" w:rsidRPr="00544CED" w:rsidRDefault="00B8575F" w:rsidP="000A7341">
      <w:pPr>
        <w:pStyle w:val="NoSpacing"/>
      </w:pPr>
      <w:r>
        <w:t>Germination was low, with percentages varying between 36</w:t>
      </w:r>
      <w:r w:rsidR="001B6FEE">
        <w:t>%</w:t>
      </w:r>
      <w:r>
        <w:t xml:space="preserve"> and 57%. The plots with DAP had the lowest average germination, which could be the result of contact between the fertilizer and the seed. </w:t>
      </w:r>
      <w:r w:rsidR="00D9005D">
        <w:t xml:space="preserve">The average nodule score for all treatments improved considerably as a result of inoculation, and especially </w:t>
      </w:r>
      <w:r w:rsidR="00AE13A9">
        <w:t>for</w:t>
      </w:r>
      <w:r w:rsidR="00D9005D">
        <w:t xml:space="preserve"> the treatment with TSP. The combination of lime and inoculation </w:t>
      </w:r>
      <w:r w:rsidR="009F15CA">
        <w:t>did not further increase</w:t>
      </w:r>
      <w:r w:rsidR="00D9005D">
        <w:t xml:space="preserve"> the number of nodules, </w:t>
      </w:r>
      <w:r w:rsidR="009F15CA">
        <w:t>except for the treatment</w:t>
      </w:r>
      <w:r w:rsidR="00AE13A9">
        <w:t>s</w:t>
      </w:r>
      <w:r w:rsidR="009F15CA">
        <w:t xml:space="preserve"> with MRP-Pallets and TSP/</w:t>
      </w:r>
      <w:proofErr w:type="spellStart"/>
      <w:r w:rsidR="009F15CA">
        <w:t>KCl.</w:t>
      </w:r>
      <w:proofErr w:type="spellEnd"/>
    </w:p>
    <w:p w:rsidR="009F15CA" w:rsidRDefault="009F15CA" w:rsidP="009F15CA">
      <w:pPr>
        <w:pStyle w:val="NoSpacing"/>
      </w:pPr>
      <w:r>
        <w:t>All fertilizer inputs enhanced grain yields, with not much difference between the different types.</w:t>
      </w:r>
      <w:r w:rsidR="00A603AA">
        <w:t xml:space="preserve"> Grain yields for all treatments showed a response to inoculation, </w:t>
      </w:r>
      <w:r>
        <w:t xml:space="preserve">only the control did not benefit. The addition of lime </w:t>
      </w:r>
      <w:r w:rsidR="001B6FEE">
        <w:t xml:space="preserve">and </w:t>
      </w:r>
      <w:r>
        <w:t xml:space="preserve">inoculation had a considerable advantage in the treatments with TSP and </w:t>
      </w:r>
      <w:proofErr w:type="spellStart"/>
      <w:r>
        <w:t>Sympal</w:t>
      </w:r>
      <w:proofErr w:type="spellEnd"/>
      <w:r>
        <w:t xml:space="preserve">. The latter two achieved grain yields of about 1250 kg/ha, compared to 600 to 800 kg in the treatments without fertilizer. </w:t>
      </w:r>
    </w:p>
    <w:p w:rsidR="00452055" w:rsidRDefault="00452055" w:rsidP="00452055">
      <w:pPr>
        <w:pStyle w:val="NoSpacing"/>
      </w:pPr>
      <w:r>
        <w:t xml:space="preserve">Soybean </w:t>
      </w:r>
      <w:proofErr w:type="spellStart"/>
      <w:r>
        <w:t>stover</w:t>
      </w:r>
      <w:proofErr w:type="spellEnd"/>
      <w:r>
        <w:t xml:space="preserve"> yields did not benefit much from the application of </w:t>
      </w:r>
      <w:proofErr w:type="gramStart"/>
      <w:r>
        <w:t>DAP</w:t>
      </w:r>
      <w:proofErr w:type="gramEnd"/>
      <w:r>
        <w:t xml:space="preserve">, but </w:t>
      </w:r>
      <w:r w:rsidR="00AE13A9">
        <w:t xml:space="preserve">as </w:t>
      </w:r>
      <w:r>
        <w:t>grain yield did</w:t>
      </w:r>
      <w:r w:rsidR="00AE13A9">
        <w:t>,</w:t>
      </w:r>
      <w:r>
        <w:t xml:space="preserve"> DAP seemed to improve the harvest index. The other fertilizer types all had higher </w:t>
      </w:r>
      <w:proofErr w:type="spellStart"/>
      <w:r>
        <w:t>stover</w:t>
      </w:r>
      <w:proofErr w:type="spellEnd"/>
      <w:r>
        <w:t xml:space="preserve"> yields than the control. </w:t>
      </w:r>
      <w:proofErr w:type="gramStart"/>
      <w:r w:rsidR="00AE13A9">
        <w:t>I</w:t>
      </w:r>
      <w:r>
        <w:t xml:space="preserve">noculation with and without lime further increased </w:t>
      </w:r>
      <w:proofErr w:type="spellStart"/>
      <w:r>
        <w:t>stover</w:t>
      </w:r>
      <w:proofErr w:type="spellEnd"/>
      <w:r>
        <w:t xml:space="preserve"> yields, and again the highest yields were achieved by TSP and </w:t>
      </w:r>
      <w:proofErr w:type="spellStart"/>
      <w:r>
        <w:t>Sympal</w:t>
      </w:r>
      <w:proofErr w:type="spellEnd"/>
      <w:r>
        <w:t xml:space="preserve"> with lime and inoculation.</w:t>
      </w:r>
      <w:proofErr w:type="gramEnd"/>
      <w:r>
        <w:t xml:space="preserve"> </w:t>
      </w:r>
    </w:p>
    <w:p w:rsidR="000A7341" w:rsidRPr="00544CED" w:rsidRDefault="000A7341" w:rsidP="000A7341">
      <w:pPr>
        <w:pStyle w:val="NoSpacing"/>
      </w:pPr>
    </w:p>
    <w:p w:rsidR="002E4633" w:rsidRDefault="002E4633">
      <w:pPr>
        <w:rPr>
          <w:rFonts w:ascii="Verdana" w:hAnsi="Verdana"/>
          <w:i/>
          <w:sz w:val="17"/>
          <w:lang w:val="en-GB"/>
        </w:rPr>
      </w:pPr>
      <w:r>
        <w:rPr>
          <w:i/>
        </w:rPr>
        <w:br w:type="page"/>
      </w:r>
    </w:p>
    <w:p w:rsidR="00452055" w:rsidRPr="00D26D9E" w:rsidRDefault="00452055" w:rsidP="00452055">
      <w:pPr>
        <w:pStyle w:val="NoSpacing"/>
        <w:rPr>
          <w:i/>
        </w:rPr>
      </w:pPr>
      <w:r w:rsidRPr="00D26D9E">
        <w:rPr>
          <w:i/>
        </w:rPr>
        <w:lastRenderedPageBreak/>
        <w:t xml:space="preserve">Average </w:t>
      </w:r>
      <w:r>
        <w:rPr>
          <w:i/>
        </w:rPr>
        <w:t>nodule score</w:t>
      </w:r>
    </w:p>
    <w:tbl>
      <w:tblPr>
        <w:tblW w:w="5000" w:type="pct"/>
        <w:tblBorders>
          <w:top w:val="single" w:sz="4" w:space="0" w:color="auto"/>
          <w:bottom w:val="single" w:sz="4" w:space="0" w:color="auto"/>
        </w:tblBorders>
        <w:tblLook w:val="04A0" w:firstRow="1" w:lastRow="0" w:firstColumn="1" w:lastColumn="0" w:noHBand="0" w:noVBand="1"/>
      </w:tblPr>
      <w:tblGrid>
        <w:gridCol w:w="1385"/>
        <w:gridCol w:w="916"/>
        <w:gridCol w:w="749"/>
        <w:gridCol w:w="660"/>
        <w:gridCol w:w="1139"/>
        <w:gridCol w:w="1394"/>
        <w:gridCol w:w="635"/>
        <w:gridCol w:w="933"/>
        <w:gridCol w:w="895"/>
        <w:gridCol w:w="916"/>
      </w:tblGrid>
      <w:tr w:rsidR="00544CED" w:rsidRPr="002464DF" w:rsidTr="00D26D9E">
        <w:trPr>
          <w:trHeight w:val="300"/>
        </w:trPr>
        <w:tc>
          <w:tcPr>
            <w:tcW w:w="720" w:type="pct"/>
            <w:tcBorders>
              <w:top w:val="single" w:sz="4" w:space="0" w:color="auto"/>
              <w:bottom w:val="single" w:sz="4" w:space="0" w:color="auto"/>
            </w:tcBorders>
            <w:vAlign w:val="bottom"/>
          </w:tcPr>
          <w:p w:rsidR="00544CED" w:rsidRPr="002464DF" w:rsidRDefault="00544CED" w:rsidP="00544CED">
            <w:pPr>
              <w:pStyle w:val="NoSpacing"/>
            </w:pPr>
          </w:p>
        </w:tc>
        <w:tc>
          <w:tcPr>
            <w:tcW w:w="476" w:type="pct"/>
            <w:tcBorders>
              <w:top w:val="single" w:sz="4" w:space="0" w:color="auto"/>
              <w:bottom w:val="single" w:sz="4" w:space="0" w:color="auto"/>
            </w:tcBorders>
            <w:shd w:val="clear" w:color="auto" w:fill="auto"/>
            <w:noWrap/>
            <w:vAlign w:val="bottom"/>
            <w:hideMark/>
          </w:tcPr>
          <w:p w:rsidR="00544CED" w:rsidRPr="002464DF" w:rsidRDefault="00544CED" w:rsidP="00544CED">
            <w:pPr>
              <w:pStyle w:val="NoSpacing"/>
            </w:pPr>
          </w:p>
        </w:tc>
        <w:tc>
          <w:tcPr>
            <w:tcW w:w="389" w:type="pct"/>
            <w:tcBorders>
              <w:top w:val="single" w:sz="4" w:space="0" w:color="auto"/>
              <w:bottom w:val="single" w:sz="4" w:space="0" w:color="auto"/>
            </w:tcBorders>
            <w:shd w:val="clear" w:color="auto" w:fill="auto"/>
            <w:noWrap/>
            <w:vAlign w:val="bottom"/>
            <w:hideMark/>
          </w:tcPr>
          <w:p w:rsidR="00544CED" w:rsidRPr="002464DF" w:rsidRDefault="00544CED" w:rsidP="00544CED">
            <w:pPr>
              <w:pStyle w:val="NoSpacing"/>
            </w:pPr>
            <w:r>
              <w:t>None</w:t>
            </w:r>
          </w:p>
        </w:tc>
        <w:tc>
          <w:tcPr>
            <w:tcW w:w="343" w:type="pct"/>
            <w:tcBorders>
              <w:top w:val="single" w:sz="4" w:space="0" w:color="auto"/>
              <w:bottom w:val="single" w:sz="4" w:space="0" w:color="auto"/>
            </w:tcBorders>
            <w:shd w:val="clear" w:color="auto" w:fill="auto"/>
            <w:noWrap/>
            <w:vAlign w:val="bottom"/>
            <w:hideMark/>
          </w:tcPr>
          <w:p w:rsidR="00544CED" w:rsidRPr="002464DF" w:rsidRDefault="00544CED" w:rsidP="00544CED">
            <w:pPr>
              <w:pStyle w:val="NoSpacing"/>
            </w:pPr>
            <w:r w:rsidRPr="002464DF">
              <w:t>DAP</w:t>
            </w:r>
          </w:p>
        </w:tc>
        <w:tc>
          <w:tcPr>
            <w:tcW w:w="592" w:type="pct"/>
            <w:tcBorders>
              <w:top w:val="single" w:sz="4" w:space="0" w:color="auto"/>
              <w:bottom w:val="single" w:sz="4" w:space="0" w:color="auto"/>
            </w:tcBorders>
            <w:shd w:val="clear" w:color="auto" w:fill="auto"/>
            <w:noWrap/>
            <w:vAlign w:val="bottom"/>
            <w:hideMark/>
          </w:tcPr>
          <w:p w:rsidR="00544CED" w:rsidRPr="002464DF" w:rsidRDefault="00544CED" w:rsidP="00544CED">
            <w:pPr>
              <w:pStyle w:val="NoSpacing"/>
            </w:pPr>
            <w:r w:rsidRPr="002464DF">
              <w:t>MRP-DUST</w:t>
            </w:r>
          </w:p>
        </w:tc>
        <w:tc>
          <w:tcPr>
            <w:tcW w:w="724" w:type="pct"/>
            <w:tcBorders>
              <w:top w:val="single" w:sz="4" w:space="0" w:color="auto"/>
              <w:bottom w:val="single" w:sz="4" w:space="0" w:color="auto"/>
            </w:tcBorders>
            <w:shd w:val="clear" w:color="auto" w:fill="auto"/>
            <w:noWrap/>
            <w:vAlign w:val="bottom"/>
            <w:hideMark/>
          </w:tcPr>
          <w:p w:rsidR="00544CED" w:rsidRPr="002464DF" w:rsidRDefault="00544CED" w:rsidP="00544CED">
            <w:pPr>
              <w:pStyle w:val="NoSpacing"/>
            </w:pPr>
            <w:r w:rsidRPr="002464DF">
              <w:t>MRP-PALLETS</w:t>
            </w:r>
          </w:p>
        </w:tc>
        <w:tc>
          <w:tcPr>
            <w:tcW w:w="330" w:type="pct"/>
            <w:tcBorders>
              <w:top w:val="single" w:sz="4" w:space="0" w:color="auto"/>
              <w:bottom w:val="single" w:sz="4" w:space="0" w:color="auto"/>
            </w:tcBorders>
            <w:shd w:val="clear" w:color="auto" w:fill="auto"/>
            <w:noWrap/>
            <w:vAlign w:val="bottom"/>
            <w:hideMark/>
          </w:tcPr>
          <w:p w:rsidR="00544CED" w:rsidRPr="002464DF" w:rsidRDefault="00544CED" w:rsidP="00544CED">
            <w:pPr>
              <w:pStyle w:val="NoSpacing"/>
            </w:pPr>
            <w:r w:rsidRPr="002464DF">
              <w:t>TSP</w:t>
            </w:r>
          </w:p>
        </w:tc>
        <w:tc>
          <w:tcPr>
            <w:tcW w:w="485" w:type="pct"/>
            <w:tcBorders>
              <w:top w:val="single" w:sz="4" w:space="0" w:color="auto"/>
              <w:bottom w:val="single" w:sz="4" w:space="0" w:color="auto"/>
            </w:tcBorders>
            <w:shd w:val="clear" w:color="auto" w:fill="auto"/>
            <w:noWrap/>
            <w:vAlign w:val="bottom"/>
            <w:hideMark/>
          </w:tcPr>
          <w:p w:rsidR="00544CED" w:rsidRPr="002464DF" w:rsidRDefault="00544CED" w:rsidP="00544CED">
            <w:pPr>
              <w:pStyle w:val="NoSpacing"/>
            </w:pPr>
            <w:r w:rsidRPr="002464DF">
              <w:t>TSP/</w:t>
            </w:r>
            <w:proofErr w:type="spellStart"/>
            <w:r w:rsidRPr="002464DF">
              <w:t>KC</w:t>
            </w:r>
            <w:r>
              <w:t>l</w:t>
            </w:r>
            <w:proofErr w:type="spellEnd"/>
          </w:p>
        </w:tc>
        <w:tc>
          <w:tcPr>
            <w:tcW w:w="465" w:type="pct"/>
            <w:tcBorders>
              <w:top w:val="single" w:sz="4" w:space="0" w:color="auto"/>
              <w:bottom w:val="single" w:sz="4" w:space="0" w:color="auto"/>
            </w:tcBorders>
            <w:shd w:val="clear" w:color="auto" w:fill="auto"/>
            <w:noWrap/>
            <w:vAlign w:val="bottom"/>
            <w:hideMark/>
          </w:tcPr>
          <w:p w:rsidR="00544CED" w:rsidRPr="002464DF" w:rsidRDefault="00544CED" w:rsidP="00544CED">
            <w:pPr>
              <w:pStyle w:val="NoSpacing"/>
            </w:pPr>
            <w:r w:rsidRPr="002464DF">
              <w:t>SYMPAL</w:t>
            </w:r>
          </w:p>
        </w:tc>
        <w:tc>
          <w:tcPr>
            <w:tcW w:w="476" w:type="pct"/>
            <w:tcBorders>
              <w:top w:val="single" w:sz="4" w:space="0" w:color="auto"/>
              <w:bottom w:val="single" w:sz="4" w:space="0" w:color="auto"/>
            </w:tcBorders>
            <w:shd w:val="clear" w:color="auto" w:fill="auto"/>
            <w:noWrap/>
            <w:vAlign w:val="bottom"/>
            <w:hideMark/>
          </w:tcPr>
          <w:p w:rsidR="00544CED" w:rsidRPr="002464DF" w:rsidRDefault="00544CED" w:rsidP="00544CED">
            <w:pPr>
              <w:pStyle w:val="NoSpacing"/>
            </w:pPr>
            <w:r w:rsidRPr="002464DF">
              <w:t>Average</w:t>
            </w:r>
          </w:p>
        </w:tc>
      </w:tr>
      <w:tr w:rsidR="00D9005D" w:rsidRPr="002464DF" w:rsidTr="00D9005D">
        <w:trPr>
          <w:trHeight w:val="300"/>
        </w:trPr>
        <w:tc>
          <w:tcPr>
            <w:tcW w:w="720" w:type="pct"/>
            <w:vMerge w:val="restart"/>
            <w:tcBorders>
              <w:top w:val="single" w:sz="4" w:space="0" w:color="auto"/>
            </w:tcBorders>
            <w:vAlign w:val="center"/>
          </w:tcPr>
          <w:p w:rsidR="00D9005D" w:rsidRPr="002464DF" w:rsidRDefault="00D9005D" w:rsidP="00544CED">
            <w:pPr>
              <w:pStyle w:val="NoSpacing"/>
            </w:pPr>
            <w:r>
              <w:t>Without lime</w:t>
            </w:r>
          </w:p>
        </w:tc>
        <w:tc>
          <w:tcPr>
            <w:tcW w:w="476" w:type="pct"/>
            <w:tcBorders>
              <w:top w:val="single" w:sz="4" w:space="0" w:color="auto"/>
            </w:tcBorders>
            <w:shd w:val="clear" w:color="auto" w:fill="auto"/>
            <w:noWrap/>
            <w:vAlign w:val="bottom"/>
            <w:hideMark/>
          </w:tcPr>
          <w:p w:rsidR="00D9005D" w:rsidRPr="002464DF" w:rsidRDefault="00D9005D" w:rsidP="00544CED">
            <w:pPr>
              <w:pStyle w:val="NoSpacing"/>
            </w:pPr>
            <w:r w:rsidRPr="002464DF">
              <w:t xml:space="preserve">- </w:t>
            </w:r>
            <w:proofErr w:type="spellStart"/>
            <w:r w:rsidRPr="002464DF">
              <w:t>inoc</w:t>
            </w:r>
            <w:proofErr w:type="spellEnd"/>
          </w:p>
        </w:tc>
        <w:tc>
          <w:tcPr>
            <w:tcW w:w="389" w:type="pct"/>
            <w:tcBorders>
              <w:top w:val="single" w:sz="4" w:space="0" w:color="auto"/>
            </w:tcBorders>
            <w:shd w:val="clear" w:color="auto" w:fill="auto"/>
            <w:noWrap/>
            <w:vAlign w:val="bottom"/>
          </w:tcPr>
          <w:p w:rsidR="00D9005D" w:rsidRDefault="00D9005D" w:rsidP="00D9005D">
            <w:pPr>
              <w:pStyle w:val="NoSpacing"/>
              <w:jc w:val="center"/>
            </w:pPr>
            <w:r>
              <w:t>3.7</w:t>
            </w:r>
          </w:p>
        </w:tc>
        <w:tc>
          <w:tcPr>
            <w:tcW w:w="343" w:type="pct"/>
            <w:tcBorders>
              <w:top w:val="single" w:sz="4" w:space="0" w:color="auto"/>
            </w:tcBorders>
            <w:shd w:val="clear" w:color="auto" w:fill="auto"/>
            <w:noWrap/>
            <w:vAlign w:val="bottom"/>
          </w:tcPr>
          <w:p w:rsidR="00D9005D" w:rsidRDefault="00D9005D" w:rsidP="00D9005D">
            <w:pPr>
              <w:pStyle w:val="NoSpacing"/>
              <w:jc w:val="center"/>
            </w:pPr>
            <w:r>
              <w:t>3.3</w:t>
            </w:r>
          </w:p>
        </w:tc>
        <w:tc>
          <w:tcPr>
            <w:tcW w:w="592" w:type="pct"/>
            <w:tcBorders>
              <w:top w:val="single" w:sz="4" w:space="0" w:color="auto"/>
            </w:tcBorders>
            <w:shd w:val="clear" w:color="auto" w:fill="auto"/>
            <w:noWrap/>
            <w:vAlign w:val="bottom"/>
          </w:tcPr>
          <w:p w:rsidR="00D9005D" w:rsidRDefault="00D9005D" w:rsidP="00D9005D">
            <w:pPr>
              <w:pStyle w:val="NoSpacing"/>
              <w:jc w:val="center"/>
            </w:pPr>
            <w:r>
              <w:t>3.6</w:t>
            </w:r>
          </w:p>
        </w:tc>
        <w:tc>
          <w:tcPr>
            <w:tcW w:w="724" w:type="pct"/>
            <w:tcBorders>
              <w:top w:val="single" w:sz="4" w:space="0" w:color="auto"/>
            </w:tcBorders>
            <w:shd w:val="clear" w:color="auto" w:fill="auto"/>
            <w:noWrap/>
            <w:vAlign w:val="bottom"/>
          </w:tcPr>
          <w:p w:rsidR="00D9005D" w:rsidRDefault="00D9005D" w:rsidP="00D9005D">
            <w:pPr>
              <w:pStyle w:val="NoSpacing"/>
              <w:jc w:val="center"/>
            </w:pPr>
            <w:r>
              <w:t>3.8</w:t>
            </w:r>
          </w:p>
        </w:tc>
        <w:tc>
          <w:tcPr>
            <w:tcW w:w="330" w:type="pct"/>
            <w:tcBorders>
              <w:top w:val="single" w:sz="4" w:space="0" w:color="auto"/>
            </w:tcBorders>
            <w:shd w:val="clear" w:color="auto" w:fill="auto"/>
            <w:noWrap/>
            <w:vAlign w:val="bottom"/>
          </w:tcPr>
          <w:p w:rsidR="00D9005D" w:rsidRDefault="00D9005D" w:rsidP="00D9005D">
            <w:pPr>
              <w:pStyle w:val="NoSpacing"/>
              <w:jc w:val="center"/>
            </w:pPr>
            <w:r>
              <w:t>3.3</w:t>
            </w:r>
          </w:p>
        </w:tc>
        <w:tc>
          <w:tcPr>
            <w:tcW w:w="485" w:type="pct"/>
            <w:tcBorders>
              <w:top w:val="single" w:sz="4" w:space="0" w:color="auto"/>
            </w:tcBorders>
            <w:shd w:val="clear" w:color="auto" w:fill="auto"/>
            <w:noWrap/>
            <w:vAlign w:val="bottom"/>
          </w:tcPr>
          <w:p w:rsidR="00D9005D" w:rsidRDefault="00D9005D" w:rsidP="00D9005D">
            <w:pPr>
              <w:pStyle w:val="NoSpacing"/>
              <w:jc w:val="center"/>
            </w:pPr>
            <w:r>
              <w:t>3.7</w:t>
            </w:r>
          </w:p>
        </w:tc>
        <w:tc>
          <w:tcPr>
            <w:tcW w:w="465" w:type="pct"/>
            <w:tcBorders>
              <w:top w:val="single" w:sz="4" w:space="0" w:color="auto"/>
            </w:tcBorders>
            <w:shd w:val="clear" w:color="auto" w:fill="auto"/>
            <w:noWrap/>
            <w:vAlign w:val="bottom"/>
          </w:tcPr>
          <w:p w:rsidR="00D9005D" w:rsidRDefault="00D9005D" w:rsidP="00D9005D">
            <w:pPr>
              <w:pStyle w:val="NoSpacing"/>
              <w:jc w:val="center"/>
            </w:pPr>
            <w:r>
              <w:t>4.5</w:t>
            </w:r>
          </w:p>
        </w:tc>
        <w:tc>
          <w:tcPr>
            <w:tcW w:w="476" w:type="pct"/>
            <w:tcBorders>
              <w:top w:val="single" w:sz="4" w:space="0" w:color="auto"/>
            </w:tcBorders>
            <w:shd w:val="clear" w:color="auto" w:fill="auto"/>
            <w:noWrap/>
            <w:vAlign w:val="bottom"/>
          </w:tcPr>
          <w:p w:rsidR="00D9005D" w:rsidRDefault="00D9005D" w:rsidP="00D9005D">
            <w:pPr>
              <w:pStyle w:val="NoSpacing"/>
              <w:jc w:val="center"/>
            </w:pPr>
            <w:r>
              <w:t>3.7</w:t>
            </w:r>
          </w:p>
        </w:tc>
      </w:tr>
      <w:tr w:rsidR="00D9005D" w:rsidRPr="002464DF" w:rsidTr="00D26D9E">
        <w:trPr>
          <w:trHeight w:val="300"/>
        </w:trPr>
        <w:tc>
          <w:tcPr>
            <w:tcW w:w="720" w:type="pct"/>
            <w:vMerge/>
            <w:vAlign w:val="center"/>
          </w:tcPr>
          <w:p w:rsidR="00D9005D" w:rsidRPr="002464DF" w:rsidRDefault="00D9005D" w:rsidP="00544CED">
            <w:pPr>
              <w:pStyle w:val="NoSpacing"/>
            </w:pPr>
          </w:p>
        </w:tc>
        <w:tc>
          <w:tcPr>
            <w:tcW w:w="476" w:type="pct"/>
            <w:shd w:val="clear" w:color="auto" w:fill="auto"/>
            <w:noWrap/>
            <w:vAlign w:val="bottom"/>
            <w:hideMark/>
          </w:tcPr>
          <w:p w:rsidR="00D9005D" w:rsidRPr="002464DF" w:rsidRDefault="00D9005D" w:rsidP="00544CED">
            <w:pPr>
              <w:pStyle w:val="NoSpacing"/>
            </w:pPr>
            <w:r w:rsidRPr="002464DF">
              <w:t xml:space="preserve">+ </w:t>
            </w:r>
            <w:proofErr w:type="spellStart"/>
            <w:r w:rsidRPr="002464DF">
              <w:t>inoc</w:t>
            </w:r>
            <w:proofErr w:type="spellEnd"/>
          </w:p>
        </w:tc>
        <w:tc>
          <w:tcPr>
            <w:tcW w:w="389" w:type="pct"/>
            <w:shd w:val="clear" w:color="auto" w:fill="auto"/>
            <w:noWrap/>
            <w:vAlign w:val="bottom"/>
          </w:tcPr>
          <w:p w:rsidR="00D9005D" w:rsidRDefault="00D9005D" w:rsidP="00D9005D">
            <w:pPr>
              <w:pStyle w:val="NoSpacing"/>
              <w:jc w:val="center"/>
            </w:pPr>
            <w:r>
              <w:t>4.8</w:t>
            </w:r>
          </w:p>
        </w:tc>
        <w:tc>
          <w:tcPr>
            <w:tcW w:w="343" w:type="pct"/>
            <w:shd w:val="clear" w:color="auto" w:fill="auto"/>
            <w:noWrap/>
            <w:vAlign w:val="bottom"/>
          </w:tcPr>
          <w:p w:rsidR="00D9005D" w:rsidRDefault="00D9005D" w:rsidP="00D9005D">
            <w:pPr>
              <w:pStyle w:val="NoSpacing"/>
              <w:jc w:val="center"/>
            </w:pPr>
            <w:r>
              <w:t>4.1</w:t>
            </w:r>
          </w:p>
        </w:tc>
        <w:tc>
          <w:tcPr>
            <w:tcW w:w="592" w:type="pct"/>
            <w:shd w:val="clear" w:color="auto" w:fill="auto"/>
            <w:noWrap/>
            <w:vAlign w:val="bottom"/>
          </w:tcPr>
          <w:p w:rsidR="00D9005D" w:rsidRDefault="00D9005D" w:rsidP="00D9005D">
            <w:pPr>
              <w:pStyle w:val="NoSpacing"/>
              <w:jc w:val="center"/>
            </w:pPr>
            <w:r>
              <w:t>4.6</w:t>
            </w:r>
          </w:p>
        </w:tc>
        <w:tc>
          <w:tcPr>
            <w:tcW w:w="724" w:type="pct"/>
            <w:shd w:val="clear" w:color="auto" w:fill="auto"/>
            <w:noWrap/>
            <w:vAlign w:val="bottom"/>
          </w:tcPr>
          <w:p w:rsidR="00D9005D" w:rsidRDefault="00D9005D" w:rsidP="00D9005D">
            <w:pPr>
              <w:pStyle w:val="NoSpacing"/>
              <w:jc w:val="center"/>
            </w:pPr>
            <w:r>
              <w:t>4.1</w:t>
            </w:r>
          </w:p>
        </w:tc>
        <w:tc>
          <w:tcPr>
            <w:tcW w:w="330" w:type="pct"/>
            <w:shd w:val="clear" w:color="auto" w:fill="auto"/>
            <w:noWrap/>
            <w:vAlign w:val="bottom"/>
          </w:tcPr>
          <w:p w:rsidR="00D9005D" w:rsidRDefault="00D9005D" w:rsidP="00D9005D">
            <w:pPr>
              <w:pStyle w:val="NoSpacing"/>
              <w:jc w:val="center"/>
            </w:pPr>
            <w:r>
              <w:t>5.0</w:t>
            </w:r>
          </w:p>
        </w:tc>
        <w:tc>
          <w:tcPr>
            <w:tcW w:w="485" w:type="pct"/>
            <w:shd w:val="clear" w:color="auto" w:fill="auto"/>
            <w:noWrap/>
            <w:vAlign w:val="bottom"/>
          </w:tcPr>
          <w:p w:rsidR="00D9005D" w:rsidRDefault="00D9005D" w:rsidP="00D9005D">
            <w:pPr>
              <w:pStyle w:val="NoSpacing"/>
              <w:jc w:val="center"/>
            </w:pPr>
            <w:r>
              <w:t>4.1</w:t>
            </w:r>
          </w:p>
        </w:tc>
        <w:tc>
          <w:tcPr>
            <w:tcW w:w="465" w:type="pct"/>
            <w:shd w:val="clear" w:color="auto" w:fill="auto"/>
            <w:noWrap/>
            <w:vAlign w:val="bottom"/>
          </w:tcPr>
          <w:p w:rsidR="00D9005D" w:rsidRDefault="00D9005D" w:rsidP="00D9005D">
            <w:pPr>
              <w:pStyle w:val="NoSpacing"/>
              <w:jc w:val="center"/>
            </w:pPr>
            <w:r>
              <w:t>4.6</w:t>
            </w:r>
          </w:p>
        </w:tc>
        <w:tc>
          <w:tcPr>
            <w:tcW w:w="476" w:type="pct"/>
            <w:shd w:val="clear" w:color="auto" w:fill="auto"/>
            <w:noWrap/>
            <w:vAlign w:val="bottom"/>
          </w:tcPr>
          <w:p w:rsidR="00D9005D" w:rsidRDefault="00D9005D" w:rsidP="00D9005D">
            <w:pPr>
              <w:pStyle w:val="NoSpacing"/>
              <w:jc w:val="center"/>
            </w:pPr>
            <w:r>
              <w:t>4.5</w:t>
            </w:r>
          </w:p>
        </w:tc>
      </w:tr>
      <w:tr w:rsidR="00D9005D" w:rsidRPr="002464DF" w:rsidTr="00D26D9E">
        <w:trPr>
          <w:trHeight w:val="300"/>
        </w:trPr>
        <w:tc>
          <w:tcPr>
            <w:tcW w:w="720" w:type="pct"/>
            <w:vMerge w:val="restart"/>
            <w:vAlign w:val="center"/>
          </w:tcPr>
          <w:p w:rsidR="00D9005D" w:rsidRPr="002464DF" w:rsidRDefault="00D9005D" w:rsidP="00544CED">
            <w:pPr>
              <w:pStyle w:val="NoSpacing"/>
            </w:pPr>
            <w:r>
              <w:t>With lime</w:t>
            </w:r>
          </w:p>
        </w:tc>
        <w:tc>
          <w:tcPr>
            <w:tcW w:w="476" w:type="pct"/>
            <w:shd w:val="clear" w:color="auto" w:fill="auto"/>
            <w:noWrap/>
            <w:vAlign w:val="bottom"/>
            <w:hideMark/>
          </w:tcPr>
          <w:p w:rsidR="00D9005D" w:rsidRPr="002464DF" w:rsidRDefault="00D9005D" w:rsidP="00544CED">
            <w:pPr>
              <w:pStyle w:val="NoSpacing"/>
            </w:pPr>
            <w:r w:rsidRPr="002464DF">
              <w:t xml:space="preserve">- </w:t>
            </w:r>
            <w:proofErr w:type="spellStart"/>
            <w:r w:rsidRPr="002464DF">
              <w:t>inoc</w:t>
            </w:r>
            <w:proofErr w:type="spellEnd"/>
          </w:p>
        </w:tc>
        <w:tc>
          <w:tcPr>
            <w:tcW w:w="389" w:type="pct"/>
            <w:shd w:val="clear" w:color="auto" w:fill="auto"/>
            <w:noWrap/>
            <w:vAlign w:val="bottom"/>
          </w:tcPr>
          <w:p w:rsidR="00D9005D" w:rsidRDefault="00D9005D" w:rsidP="00D9005D">
            <w:pPr>
              <w:pStyle w:val="NoSpacing"/>
              <w:jc w:val="center"/>
            </w:pPr>
            <w:r>
              <w:t>3.2</w:t>
            </w:r>
          </w:p>
        </w:tc>
        <w:tc>
          <w:tcPr>
            <w:tcW w:w="343" w:type="pct"/>
            <w:shd w:val="clear" w:color="auto" w:fill="auto"/>
            <w:noWrap/>
            <w:vAlign w:val="bottom"/>
          </w:tcPr>
          <w:p w:rsidR="00D9005D" w:rsidRDefault="00D9005D" w:rsidP="00D9005D">
            <w:pPr>
              <w:pStyle w:val="NoSpacing"/>
              <w:jc w:val="center"/>
            </w:pPr>
            <w:r>
              <w:t>3.4</w:t>
            </w:r>
          </w:p>
        </w:tc>
        <w:tc>
          <w:tcPr>
            <w:tcW w:w="592" w:type="pct"/>
            <w:shd w:val="clear" w:color="auto" w:fill="auto"/>
            <w:noWrap/>
            <w:vAlign w:val="bottom"/>
          </w:tcPr>
          <w:p w:rsidR="00D9005D" w:rsidRDefault="00D9005D" w:rsidP="00D9005D">
            <w:pPr>
              <w:pStyle w:val="NoSpacing"/>
              <w:jc w:val="center"/>
            </w:pPr>
            <w:r>
              <w:t>3.7</w:t>
            </w:r>
          </w:p>
        </w:tc>
        <w:tc>
          <w:tcPr>
            <w:tcW w:w="724" w:type="pct"/>
            <w:shd w:val="clear" w:color="auto" w:fill="auto"/>
            <w:noWrap/>
            <w:vAlign w:val="bottom"/>
          </w:tcPr>
          <w:p w:rsidR="00D9005D" w:rsidRDefault="00D9005D" w:rsidP="00D9005D">
            <w:pPr>
              <w:pStyle w:val="NoSpacing"/>
              <w:jc w:val="center"/>
            </w:pPr>
            <w:r>
              <w:t>3.6</w:t>
            </w:r>
          </w:p>
        </w:tc>
        <w:tc>
          <w:tcPr>
            <w:tcW w:w="330" w:type="pct"/>
            <w:shd w:val="clear" w:color="auto" w:fill="auto"/>
            <w:noWrap/>
            <w:vAlign w:val="bottom"/>
          </w:tcPr>
          <w:p w:rsidR="00D9005D" w:rsidRDefault="00D9005D" w:rsidP="00D9005D">
            <w:pPr>
              <w:pStyle w:val="NoSpacing"/>
              <w:jc w:val="center"/>
            </w:pPr>
            <w:r>
              <w:t>3.9</w:t>
            </w:r>
          </w:p>
        </w:tc>
        <w:tc>
          <w:tcPr>
            <w:tcW w:w="485" w:type="pct"/>
            <w:shd w:val="clear" w:color="auto" w:fill="auto"/>
            <w:noWrap/>
            <w:vAlign w:val="bottom"/>
          </w:tcPr>
          <w:p w:rsidR="00D9005D" w:rsidRDefault="00D9005D" w:rsidP="00D9005D">
            <w:pPr>
              <w:pStyle w:val="NoSpacing"/>
              <w:jc w:val="center"/>
            </w:pPr>
            <w:r>
              <w:t>4.0</w:t>
            </w:r>
          </w:p>
        </w:tc>
        <w:tc>
          <w:tcPr>
            <w:tcW w:w="465" w:type="pct"/>
            <w:shd w:val="clear" w:color="auto" w:fill="auto"/>
            <w:noWrap/>
            <w:vAlign w:val="bottom"/>
          </w:tcPr>
          <w:p w:rsidR="00D9005D" w:rsidRDefault="00D9005D" w:rsidP="00D9005D">
            <w:pPr>
              <w:pStyle w:val="NoSpacing"/>
              <w:jc w:val="center"/>
            </w:pPr>
            <w:r>
              <w:t>3.6</w:t>
            </w:r>
          </w:p>
        </w:tc>
        <w:tc>
          <w:tcPr>
            <w:tcW w:w="476" w:type="pct"/>
            <w:shd w:val="clear" w:color="auto" w:fill="auto"/>
            <w:noWrap/>
            <w:vAlign w:val="bottom"/>
          </w:tcPr>
          <w:p w:rsidR="00D9005D" w:rsidRDefault="00D9005D" w:rsidP="00D9005D">
            <w:pPr>
              <w:pStyle w:val="NoSpacing"/>
              <w:jc w:val="center"/>
            </w:pPr>
            <w:r>
              <w:t>3.6</w:t>
            </w:r>
          </w:p>
        </w:tc>
      </w:tr>
      <w:tr w:rsidR="00D9005D" w:rsidRPr="002464DF" w:rsidTr="00D26D9E">
        <w:trPr>
          <w:trHeight w:val="300"/>
        </w:trPr>
        <w:tc>
          <w:tcPr>
            <w:tcW w:w="720" w:type="pct"/>
            <w:vMerge/>
            <w:tcBorders>
              <w:bottom w:val="single" w:sz="4" w:space="0" w:color="auto"/>
            </w:tcBorders>
            <w:vAlign w:val="bottom"/>
          </w:tcPr>
          <w:p w:rsidR="00D9005D" w:rsidRPr="002464DF" w:rsidRDefault="00D9005D" w:rsidP="00544CED">
            <w:pPr>
              <w:pStyle w:val="NoSpacing"/>
            </w:pPr>
          </w:p>
        </w:tc>
        <w:tc>
          <w:tcPr>
            <w:tcW w:w="476" w:type="pct"/>
            <w:tcBorders>
              <w:bottom w:val="single" w:sz="4" w:space="0" w:color="auto"/>
            </w:tcBorders>
            <w:shd w:val="clear" w:color="auto" w:fill="auto"/>
            <w:noWrap/>
            <w:vAlign w:val="bottom"/>
            <w:hideMark/>
          </w:tcPr>
          <w:p w:rsidR="00D9005D" w:rsidRPr="002464DF" w:rsidRDefault="00D9005D" w:rsidP="00544CED">
            <w:pPr>
              <w:pStyle w:val="NoSpacing"/>
            </w:pPr>
            <w:r w:rsidRPr="002464DF">
              <w:t xml:space="preserve">+ </w:t>
            </w:r>
            <w:proofErr w:type="spellStart"/>
            <w:r w:rsidRPr="002464DF">
              <w:t>inoc</w:t>
            </w:r>
            <w:proofErr w:type="spellEnd"/>
          </w:p>
        </w:tc>
        <w:tc>
          <w:tcPr>
            <w:tcW w:w="389" w:type="pct"/>
            <w:tcBorders>
              <w:bottom w:val="single" w:sz="4" w:space="0" w:color="auto"/>
            </w:tcBorders>
            <w:shd w:val="clear" w:color="auto" w:fill="auto"/>
            <w:noWrap/>
            <w:vAlign w:val="bottom"/>
          </w:tcPr>
          <w:p w:rsidR="00D9005D" w:rsidRDefault="00D9005D" w:rsidP="00D9005D">
            <w:pPr>
              <w:pStyle w:val="NoSpacing"/>
              <w:jc w:val="center"/>
            </w:pPr>
            <w:r>
              <w:t>4.2</w:t>
            </w:r>
          </w:p>
        </w:tc>
        <w:tc>
          <w:tcPr>
            <w:tcW w:w="343" w:type="pct"/>
            <w:tcBorders>
              <w:bottom w:val="single" w:sz="4" w:space="0" w:color="auto"/>
            </w:tcBorders>
            <w:shd w:val="clear" w:color="auto" w:fill="auto"/>
            <w:noWrap/>
            <w:vAlign w:val="bottom"/>
          </w:tcPr>
          <w:p w:rsidR="00D9005D" w:rsidRDefault="00D9005D" w:rsidP="00D9005D">
            <w:pPr>
              <w:pStyle w:val="NoSpacing"/>
              <w:jc w:val="center"/>
            </w:pPr>
            <w:r>
              <w:t>4.1</w:t>
            </w:r>
          </w:p>
        </w:tc>
        <w:tc>
          <w:tcPr>
            <w:tcW w:w="592" w:type="pct"/>
            <w:tcBorders>
              <w:bottom w:val="single" w:sz="4" w:space="0" w:color="auto"/>
            </w:tcBorders>
            <w:shd w:val="clear" w:color="auto" w:fill="auto"/>
            <w:noWrap/>
            <w:vAlign w:val="bottom"/>
          </w:tcPr>
          <w:p w:rsidR="00D9005D" w:rsidRDefault="00D9005D" w:rsidP="00D9005D">
            <w:pPr>
              <w:pStyle w:val="NoSpacing"/>
              <w:jc w:val="center"/>
            </w:pPr>
            <w:r>
              <w:t>4.5</w:t>
            </w:r>
          </w:p>
        </w:tc>
        <w:tc>
          <w:tcPr>
            <w:tcW w:w="724" w:type="pct"/>
            <w:tcBorders>
              <w:bottom w:val="single" w:sz="4" w:space="0" w:color="auto"/>
            </w:tcBorders>
            <w:shd w:val="clear" w:color="auto" w:fill="auto"/>
            <w:noWrap/>
            <w:vAlign w:val="bottom"/>
          </w:tcPr>
          <w:p w:rsidR="00D9005D" w:rsidRDefault="00D9005D" w:rsidP="00D9005D">
            <w:pPr>
              <w:pStyle w:val="NoSpacing"/>
              <w:jc w:val="center"/>
            </w:pPr>
            <w:r>
              <w:t>4.7</w:t>
            </w:r>
          </w:p>
        </w:tc>
        <w:tc>
          <w:tcPr>
            <w:tcW w:w="330" w:type="pct"/>
            <w:tcBorders>
              <w:bottom w:val="single" w:sz="4" w:space="0" w:color="auto"/>
            </w:tcBorders>
            <w:shd w:val="clear" w:color="auto" w:fill="auto"/>
            <w:noWrap/>
            <w:vAlign w:val="bottom"/>
          </w:tcPr>
          <w:p w:rsidR="00D9005D" w:rsidRDefault="00D9005D" w:rsidP="00D9005D">
            <w:pPr>
              <w:pStyle w:val="NoSpacing"/>
              <w:jc w:val="center"/>
            </w:pPr>
            <w:r>
              <w:t>4.9</w:t>
            </w:r>
          </w:p>
        </w:tc>
        <w:tc>
          <w:tcPr>
            <w:tcW w:w="485" w:type="pct"/>
            <w:tcBorders>
              <w:bottom w:val="single" w:sz="4" w:space="0" w:color="auto"/>
            </w:tcBorders>
            <w:shd w:val="clear" w:color="auto" w:fill="auto"/>
            <w:noWrap/>
            <w:vAlign w:val="bottom"/>
          </w:tcPr>
          <w:p w:rsidR="00D9005D" w:rsidRDefault="00D9005D" w:rsidP="00D9005D">
            <w:pPr>
              <w:pStyle w:val="NoSpacing"/>
              <w:jc w:val="center"/>
            </w:pPr>
            <w:r>
              <w:t>4.8</w:t>
            </w:r>
          </w:p>
        </w:tc>
        <w:tc>
          <w:tcPr>
            <w:tcW w:w="465" w:type="pct"/>
            <w:tcBorders>
              <w:bottom w:val="single" w:sz="4" w:space="0" w:color="auto"/>
            </w:tcBorders>
            <w:shd w:val="clear" w:color="auto" w:fill="auto"/>
            <w:noWrap/>
            <w:vAlign w:val="bottom"/>
          </w:tcPr>
          <w:p w:rsidR="00D9005D" w:rsidRDefault="00D9005D" w:rsidP="00D9005D">
            <w:pPr>
              <w:pStyle w:val="NoSpacing"/>
              <w:jc w:val="center"/>
            </w:pPr>
            <w:r>
              <w:t>4.5</w:t>
            </w:r>
          </w:p>
        </w:tc>
        <w:tc>
          <w:tcPr>
            <w:tcW w:w="476" w:type="pct"/>
            <w:tcBorders>
              <w:bottom w:val="single" w:sz="4" w:space="0" w:color="auto"/>
            </w:tcBorders>
            <w:shd w:val="clear" w:color="auto" w:fill="auto"/>
            <w:noWrap/>
            <w:vAlign w:val="bottom"/>
          </w:tcPr>
          <w:p w:rsidR="00D9005D" w:rsidRDefault="00D9005D" w:rsidP="00D9005D">
            <w:pPr>
              <w:pStyle w:val="NoSpacing"/>
              <w:jc w:val="center"/>
            </w:pPr>
            <w:r>
              <w:t>4.5</w:t>
            </w:r>
          </w:p>
        </w:tc>
      </w:tr>
      <w:tr w:rsidR="00D9005D" w:rsidRPr="002464DF" w:rsidTr="00D26D9E">
        <w:trPr>
          <w:trHeight w:val="300"/>
        </w:trPr>
        <w:tc>
          <w:tcPr>
            <w:tcW w:w="720" w:type="pct"/>
            <w:tcBorders>
              <w:top w:val="single" w:sz="4" w:space="0" w:color="auto"/>
              <w:bottom w:val="single" w:sz="4" w:space="0" w:color="auto"/>
            </w:tcBorders>
            <w:vAlign w:val="bottom"/>
          </w:tcPr>
          <w:p w:rsidR="00D9005D" w:rsidRPr="002464DF" w:rsidRDefault="00D9005D" w:rsidP="00544CED">
            <w:pPr>
              <w:pStyle w:val="NoSpacing"/>
            </w:pPr>
          </w:p>
        </w:tc>
        <w:tc>
          <w:tcPr>
            <w:tcW w:w="476" w:type="pct"/>
            <w:tcBorders>
              <w:top w:val="single" w:sz="4" w:space="0" w:color="auto"/>
              <w:bottom w:val="single" w:sz="4" w:space="0" w:color="auto"/>
            </w:tcBorders>
            <w:shd w:val="clear" w:color="auto" w:fill="auto"/>
            <w:noWrap/>
            <w:vAlign w:val="bottom"/>
            <w:hideMark/>
          </w:tcPr>
          <w:p w:rsidR="00D9005D" w:rsidRPr="002464DF" w:rsidRDefault="00D9005D" w:rsidP="00544CED">
            <w:pPr>
              <w:pStyle w:val="NoSpacing"/>
            </w:pPr>
            <w:r>
              <w:t>A</w:t>
            </w:r>
            <w:r w:rsidRPr="002464DF">
              <w:t>verage</w:t>
            </w:r>
          </w:p>
        </w:tc>
        <w:tc>
          <w:tcPr>
            <w:tcW w:w="389" w:type="pct"/>
            <w:tcBorders>
              <w:top w:val="single" w:sz="4" w:space="0" w:color="auto"/>
              <w:bottom w:val="single" w:sz="4" w:space="0" w:color="auto"/>
            </w:tcBorders>
            <w:shd w:val="clear" w:color="auto" w:fill="auto"/>
            <w:noWrap/>
            <w:vAlign w:val="bottom"/>
          </w:tcPr>
          <w:p w:rsidR="00D9005D" w:rsidRDefault="00D9005D" w:rsidP="00D9005D">
            <w:pPr>
              <w:pStyle w:val="NoSpacing"/>
              <w:jc w:val="center"/>
            </w:pPr>
            <w:r>
              <w:t>4.0</w:t>
            </w:r>
          </w:p>
        </w:tc>
        <w:tc>
          <w:tcPr>
            <w:tcW w:w="343" w:type="pct"/>
            <w:tcBorders>
              <w:top w:val="single" w:sz="4" w:space="0" w:color="auto"/>
              <w:bottom w:val="single" w:sz="4" w:space="0" w:color="auto"/>
            </w:tcBorders>
            <w:shd w:val="clear" w:color="auto" w:fill="auto"/>
            <w:noWrap/>
            <w:vAlign w:val="bottom"/>
          </w:tcPr>
          <w:p w:rsidR="00D9005D" w:rsidRDefault="00D9005D" w:rsidP="00D9005D">
            <w:pPr>
              <w:pStyle w:val="NoSpacing"/>
              <w:jc w:val="center"/>
            </w:pPr>
            <w:r>
              <w:t>3.7</w:t>
            </w:r>
          </w:p>
        </w:tc>
        <w:tc>
          <w:tcPr>
            <w:tcW w:w="592" w:type="pct"/>
            <w:tcBorders>
              <w:top w:val="single" w:sz="4" w:space="0" w:color="auto"/>
              <w:bottom w:val="single" w:sz="4" w:space="0" w:color="auto"/>
            </w:tcBorders>
            <w:shd w:val="clear" w:color="auto" w:fill="auto"/>
            <w:noWrap/>
            <w:vAlign w:val="bottom"/>
          </w:tcPr>
          <w:p w:rsidR="00D9005D" w:rsidRDefault="00D9005D" w:rsidP="00D9005D">
            <w:pPr>
              <w:pStyle w:val="NoSpacing"/>
              <w:jc w:val="center"/>
            </w:pPr>
            <w:r>
              <w:t>4.1</w:t>
            </w:r>
          </w:p>
        </w:tc>
        <w:tc>
          <w:tcPr>
            <w:tcW w:w="724" w:type="pct"/>
            <w:tcBorders>
              <w:top w:val="single" w:sz="4" w:space="0" w:color="auto"/>
              <w:bottom w:val="single" w:sz="4" w:space="0" w:color="auto"/>
            </w:tcBorders>
            <w:shd w:val="clear" w:color="auto" w:fill="auto"/>
            <w:noWrap/>
            <w:vAlign w:val="bottom"/>
          </w:tcPr>
          <w:p w:rsidR="00D9005D" w:rsidRDefault="00D9005D" w:rsidP="00D9005D">
            <w:pPr>
              <w:pStyle w:val="NoSpacing"/>
              <w:jc w:val="center"/>
            </w:pPr>
            <w:r>
              <w:t>4.1</w:t>
            </w:r>
          </w:p>
        </w:tc>
        <w:tc>
          <w:tcPr>
            <w:tcW w:w="330" w:type="pct"/>
            <w:tcBorders>
              <w:top w:val="single" w:sz="4" w:space="0" w:color="auto"/>
              <w:bottom w:val="single" w:sz="4" w:space="0" w:color="auto"/>
            </w:tcBorders>
            <w:shd w:val="clear" w:color="auto" w:fill="auto"/>
            <w:noWrap/>
            <w:vAlign w:val="bottom"/>
          </w:tcPr>
          <w:p w:rsidR="00D9005D" w:rsidRDefault="00D9005D" w:rsidP="00D9005D">
            <w:pPr>
              <w:pStyle w:val="NoSpacing"/>
              <w:jc w:val="center"/>
            </w:pPr>
            <w:r>
              <w:t>4.3</w:t>
            </w:r>
          </w:p>
        </w:tc>
        <w:tc>
          <w:tcPr>
            <w:tcW w:w="485" w:type="pct"/>
            <w:tcBorders>
              <w:top w:val="single" w:sz="4" w:space="0" w:color="auto"/>
              <w:bottom w:val="single" w:sz="4" w:space="0" w:color="auto"/>
            </w:tcBorders>
            <w:shd w:val="clear" w:color="auto" w:fill="auto"/>
            <w:noWrap/>
            <w:vAlign w:val="bottom"/>
          </w:tcPr>
          <w:p w:rsidR="00D9005D" w:rsidRDefault="00D9005D" w:rsidP="00D9005D">
            <w:pPr>
              <w:pStyle w:val="NoSpacing"/>
              <w:jc w:val="center"/>
            </w:pPr>
            <w:r>
              <w:t>4.1</w:t>
            </w:r>
          </w:p>
        </w:tc>
        <w:tc>
          <w:tcPr>
            <w:tcW w:w="465" w:type="pct"/>
            <w:tcBorders>
              <w:top w:val="single" w:sz="4" w:space="0" w:color="auto"/>
              <w:bottom w:val="single" w:sz="4" w:space="0" w:color="auto"/>
            </w:tcBorders>
            <w:shd w:val="clear" w:color="auto" w:fill="auto"/>
            <w:noWrap/>
            <w:vAlign w:val="bottom"/>
          </w:tcPr>
          <w:p w:rsidR="00D9005D" w:rsidRDefault="00D9005D" w:rsidP="00D9005D">
            <w:pPr>
              <w:pStyle w:val="NoSpacing"/>
              <w:jc w:val="center"/>
            </w:pPr>
            <w:r>
              <w:t>4.3</w:t>
            </w:r>
          </w:p>
        </w:tc>
        <w:tc>
          <w:tcPr>
            <w:tcW w:w="476" w:type="pct"/>
            <w:tcBorders>
              <w:top w:val="single" w:sz="4" w:space="0" w:color="auto"/>
              <w:bottom w:val="single" w:sz="4" w:space="0" w:color="auto"/>
            </w:tcBorders>
            <w:shd w:val="clear" w:color="auto" w:fill="auto"/>
            <w:noWrap/>
            <w:vAlign w:val="bottom"/>
          </w:tcPr>
          <w:p w:rsidR="00D9005D" w:rsidRDefault="00D9005D" w:rsidP="00D9005D">
            <w:pPr>
              <w:pStyle w:val="NoSpacing"/>
              <w:jc w:val="center"/>
            </w:pPr>
            <w:r>
              <w:t>4.0</w:t>
            </w:r>
          </w:p>
        </w:tc>
      </w:tr>
    </w:tbl>
    <w:p w:rsidR="00544CED" w:rsidRDefault="00544CED" w:rsidP="00544CED">
      <w:pPr>
        <w:pStyle w:val="NoSpacing"/>
      </w:pPr>
    </w:p>
    <w:p w:rsidR="00D26D9E" w:rsidRDefault="00D9005D" w:rsidP="00544CED">
      <w:pPr>
        <w:pStyle w:val="NoSpacing"/>
      </w:pPr>
      <w:r>
        <w:rPr>
          <w:noProof/>
          <w:lang w:val="en-US"/>
        </w:rPr>
        <w:drawing>
          <wp:inline distT="0" distB="0" distL="0" distR="0" wp14:anchorId="60D34BCF" wp14:editId="7984F2F6">
            <wp:extent cx="4572000" cy="2743200"/>
            <wp:effectExtent l="0" t="0" r="19050" b="19050"/>
            <wp:docPr id="41" name="Chart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26D9E" w:rsidRDefault="00D26D9E" w:rsidP="00544CED">
      <w:pPr>
        <w:pStyle w:val="NoSpacing"/>
      </w:pPr>
    </w:p>
    <w:p w:rsidR="00D26D9E" w:rsidRDefault="00D9005D" w:rsidP="00544CED">
      <w:pPr>
        <w:pStyle w:val="NoSpacing"/>
      </w:pPr>
      <w:r>
        <w:rPr>
          <w:noProof/>
          <w:lang w:val="en-US"/>
        </w:rPr>
        <w:drawing>
          <wp:inline distT="0" distB="0" distL="0" distR="0" wp14:anchorId="11D13A9E" wp14:editId="1BF10831">
            <wp:extent cx="4572000" cy="2743200"/>
            <wp:effectExtent l="0" t="0" r="19050" b="19050"/>
            <wp:docPr id="42" name="Chart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26D9E" w:rsidRDefault="00D26D9E" w:rsidP="00544CED">
      <w:pPr>
        <w:pStyle w:val="NoSpacing"/>
      </w:pPr>
    </w:p>
    <w:p w:rsidR="002E4633" w:rsidRDefault="002E4633">
      <w:pPr>
        <w:rPr>
          <w:rFonts w:ascii="Verdana" w:hAnsi="Verdana"/>
          <w:sz w:val="17"/>
          <w:lang w:val="en-GB"/>
        </w:rPr>
      </w:pPr>
      <w:r>
        <w:br w:type="page"/>
      </w:r>
    </w:p>
    <w:p w:rsidR="009F15CA" w:rsidRDefault="009F15CA" w:rsidP="00544CED">
      <w:pPr>
        <w:pStyle w:val="NoSpacing"/>
      </w:pPr>
    </w:p>
    <w:p w:rsidR="00544CED" w:rsidRPr="00D26D9E" w:rsidRDefault="00D26D9E" w:rsidP="00544CED">
      <w:pPr>
        <w:pStyle w:val="NoSpacing"/>
        <w:rPr>
          <w:i/>
        </w:rPr>
      </w:pPr>
      <w:r w:rsidRPr="00D26D9E">
        <w:rPr>
          <w:i/>
        </w:rPr>
        <w:t>Grain yield (kg/ha)</w:t>
      </w:r>
    </w:p>
    <w:tbl>
      <w:tblPr>
        <w:tblW w:w="5000" w:type="pct"/>
        <w:tblBorders>
          <w:top w:val="single" w:sz="4" w:space="0" w:color="auto"/>
          <w:bottom w:val="single" w:sz="4" w:space="0" w:color="auto"/>
        </w:tblBorders>
        <w:tblLook w:val="04A0" w:firstRow="1" w:lastRow="0" w:firstColumn="1" w:lastColumn="0" w:noHBand="0" w:noVBand="1"/>
      </w:tblPr>
      <w:tblGrid>
        <w:gridCol w:w="1383"/>
        <w:gridCol w:w="916"/>
        <w:gridCol w:w="746"/>
        <w:gridCol w:w="657"/>
        <w:gridCol w:w="1136"/>
        <w:gridCol w:w="1394"/>
        <w:gridCol w:w="649"/>
        <w:gridCol w:w="931"/>
        <w:gridCol w:w="894"/>
        <w:gridCol w:w="916"/>
      </w:tblGrid>
      <w:tr w:rsidR="00544CED" w:rsidRPr="002464DF" w:rsidTr="00D26D9E">
        <w:trPr>
          <w:trHeight w:val="300"/>
        </w:trPr>
        <w:tc>
          <w:tcPr>
            <w:tcW w:w="720" w:type="pct"/>
            <w:tcBorders>
              <w:top w:val="single" w:sz="4" w:space="0" w:color="auto"/>
              <w:bottom w:val="single" w:sz="4" w:space="0" w:color="auto"/>
            </w:tcBorders>
            <w:vAlign w:val="bottom"/>
          </w:tcPr>
          <w:p w:rsidR="00544CED" w:rsidRPr="002464DF" w:rsidRDefault="00544CED" w:rsidP="00544CED">
            <w:pPr>
              <w:pStyle w:val="NoSpacing"/>
            </w:pPr>
          </w:p>
        </w:tc>
        <w:tc>
          <w:tcPr>
            <w:tcW w:w="476" w:type="pct"/>
            <w:tcBorders>
              <w:top w:val="single" w:sz="4" w:space="0" w:color="auto"/>
              <w:bottom w:val="single" w:sz="4" w:space="0" w:color="auto"/>
            </w:tcBorders>
            <w:shd w:val="clear" w:color="auto" w:fill="auto"/>
            <w:noWrap/>
            <w:vAlign w:val="bottom"/>
            <w:hideMark/>
          </w:tcPr>
          <w:p w:rsidR="00544CED" w:rsidRPr="002464DF" w:rsidRDefault="00544CED" w:rsidP="00544CED">
            <w:pPr>
              <w:pStyle w:val="NoSpacing"/>
            </w:pPr>
          </w:p>
        </w:tc>
        <w:tc>
          <w:tcPr>
            <w:tcW w:w="389" w:type="pct"/>
            <w:tcBorders>
              <w:top w:val="single" w:sz="4" w:space="0" w:color="auto"/>
              <w:bottom w:val="single" w:sz="4" w:space="0" w:color="auto"/>
            </w:tcBorders>
            <w:shd w:val="clear" w:color="auto" w:fill="auto"/>
            <w:noWrap/>
            <w:vAlign w:val="bottom"/>
            <w:hideMark/>
          </w:tcPr>
          <w:p w:rsidR="00544CED" w:rsidRPr="002464DF" w:rsidRDefault="00544CED" w:rsidP="00544CED">
            <w:pPr>
              <w:pStyle w:val="NoSpacing"/>
            </w:pPr>
            <w:r>
              <w:t>None</w:t>
            </w:r>
          </w:p>
        </w:tc>
        <w:tc>
          <w:tcPr>
            <w:tcW w:w="343" w:type="pct"/>
            <w:tcBorders>
              <w:top w:val="single" w:sz="4" w:space="0" w:color="auto"/>
              <w:bottom w:val="single" w:sz="4" w:space="0" w:color="auto"/>
            </w:tcBorders>
            <w:shd w:val="clear" w:color="auto" w:fill="auto"/>
            <w:noWrap/>
            <w:vAlign w:val="bottom"/>
            <w:hideMark/>
          </w:tcPr>
          <w:p w:rsidR="00544CED" w:rsidRPr="002464DF" w:rsidRDefault="00544CED" w:rsidP="00544CED">
            <w:pPr>
              <w:pStyle w:val="NoSpacing"/>
            </w:pPr>
            <w:r w:rsidRPr="002464DF">
              <w:t>DAP</w:t>
            </w:r>
          </w:p>
        </w:tc>
        <w:tc>
          <w:tcPr>
            <w:tcW w:w="592" w:type="pct"/>
            <w:tcBorders>
              <w:top w:val="single" w:sz="4" w:space="0" w:color="auto"/>
              <w:bottom w:val="single" w:sz="4" w:space="0" w:color="auto"/>
            </w:tcBorders>
            <w:shd w:val="clear" w:color="auto" w:fill="auto"/>
            <w:noWrap/>
            <w:vAlign w:val="bottom"/>
            <w:hideMark/>
          </w:tcPr>
          <w:p w:rsidR="00544CED" w:rsidRPr="002464DF" w:rsidRDefault="00544CED" w:rsidP="00544CED">
            <w:pPr>
              <w:pStyle w:val="NoSpacing"/>
            </w:pPr>
            <w:r w:rsidRPr="002464DF">
              <w:t>MRP-DUST</w:t>
            </w:r>
          </w:p>
        </w:tc>
        <w:tc>
          <w:tcPr>
            <w:tcW w:w="724" w:type="pct"/>
            <w:tcBorders>
              <w:top w:val="single" w:sz="4" w:space="0" w:color="auto"/>
              <w:bottom w:val="single" w:sz="4" w:space="0" w:color="auto"/>
            </w:tcBorders>
            <w:shd w:val="clear" w:color="auto" w:fill="auto"/>
            <w:noWrap/>
            <w:vAlign w:val="bottom"/>
            <w:hideMark/>
          </w:tcPr>
          <w:p w:rsidR="00544CED" w:rsidRPr="002464DF" w:rsidRDefault="00544CED" w:rsidP="00544CED">
            <w:pPr>
              <w:pStyle w:val="NoSpacing"/>
            </w:pPr>
            <w:r w:rsidRPr="002464DF">
              <w:t>MRP-PALLETS</w:t>
            </w:r>
          </w:p>
        </w:tc>
        <w:tc>
          <w:tcPr>
            <w:tcW w:w="330" w:type="pct"/>
            <w:tcBorders>
              <w:top w:val="single" w:sz="4" w:space="0" w:color="auto"/>
              <w:bottom w:val="single" w:sz="4" w:space="0" w:color="auto"/>
            </w:tcBorders>
            <w:shd w:val="clear" w:color="auto" w:fill="auto"/>
            <w:noWrap/>
            <w:vAlign w:val="bottom"/>
            <w:hideMark/>
          </w:tcPr>
          <w:p w:rsidR="00544CED" w:rsidRPr="002464DF" w:rsidRDefault="00544CED" w:rsidP="00544CED">
            <w:pPr>
              <w:pStyle w:val="NoSpacing"/>
            </w:pPr>
            <w:r w:rsidRPr="002464DF">
              <w:t>TSP</w:t>
            </w:r>
          </w:p>
        </w:tc>
        <w:tc>
          <w:tcPr>
            <w:tcW w:w="485" w:type="pct"/>
            <w:tcBorders>
              <w:top w:val="single" w:sz="4" w:space="0" w:color="auto"/>
              <w:bottom w:val="single" w:sz="4" w:space="0" w:color="auto"/>
            </w:tcBorders>
            <w:shd w:val="clear" w:color="auto" w:fill="auto"/>
            <w:noWrap/>
            <w:vAlign w:val="bottom"/>
            <w:hideMark/>
          </w:tcPr>
          <w:p w:rsidR="00544CED" w:rsidRPr="002464DF" w:rsidRDefault="00544CED" w:rsidP="00544CED">
            <w:pPr>
              <w:pStyle w:val="NoSpacing"/>
            </w:pPr>
            <w:r w:rsidRPr="002464DF">
              <w:t>TSP/</w:t>
            </w:r>
            <w:proofErr w:type="spellStart"/>
            <w:r w:rsidRPr="002464DF">
              <w:t>KC</w:t>
            </w:r>
            <w:r>
              <w:t>l</w:t>
            </w:r>
            <w:proofErr w:type="spellEnd"/>
          </w:p>
        </w:tc>
        <w:tc>
          <w:tcPr>
            <w:tcW w:w="465" w:type="pct"/>
            <w:tcBorders>
              <w:top w:val="single" w:sz="4" w:space="0" w:color="auto"/>
              <w:bottom w:val="single" w:sz="4" w:space="0" w:color="auto"/>
            </w:tcBorders>
            <w:shd w:val="clear" w:color="auto" w:fill="auto"/>
            <w:noWrap/>
            <w:vAlign w:val="bottom"/>
            <w:hideMark/>
          </w:tcPr>
          <w:p w:rsidR="00544CED" w:rsidRPr="002464DF" w:rsidRDefault="00544CED" w:rsidP="00544CED">
            <w:pPr>
              <w:pStyle w:val="NoSpacing"/>
            </w:pPr>
            <w:r w:rsidRPr="002464DF">
              <w:t>SYMPAL</w:t>
            </w:r>
          </w:p>
        </w:tc>
        <w:tc>
          <w:tcPr>
            <w:tcW w:w="476" w:type="pct"/>
            <w:tcBorders>
              <w:top w:val="single" w:sz="4" w:space="0" w:color="auto"/>
              <w:bottom w:val="single" w:sz="4" w:space="0" w:color="auto"/>
            </w:tcBorders>
            <w:shd w:val="clear" w:color="auto" w:fill="auto"/>
            <w:noWrap/>
            <w:vAlign w:val="bottom"/>
            <w:hideMark/>
          </w:tcPr>
          <w:p w:rsidR="00544CED" w:rsidRPr="002464DF" w:rsidRDefault="00544CED" w:rsidP="00544CED">
            <w:pPr>
              <w:pStyle w:val="NoSpacing"/>
            </w:pPr>
            <w:r w:rsidRPr="002464DF">
              <w:t>Average</w:t>
            </w:r>
          </w:p>
        </w:tc>
      </w:tr>
      <w:tr w:rsidR="00D26D9E" w:rsidRPr="002464DF" w:rsidTr="000D000C">
        <w:trPr>
          <w:trHeight w:val="300"/>
        </w:trPr>
        <w:tc>
          <w:tcPr>
            <w:tcW w:w="721" w:type="pct"/>
            <w:vMerge w:val="restart"/>
            <w:tcBorders>
              <w:top w:val="single" w:sz="4" w:space="0" w:color="auto"/>
            </w:tcBorders>
            <w:vAlign w:val="center"/>
          </w:tcPr>
          <w:p w:rsidR="00D26D9E" w:rsidRPr="002464DF" w:rsidRDefault="00D26D9E" w:rsidP="00544CED">
            <w:pPr>
              <w:pStyle w:val="NoSpacing"/>
            </w:pPr>
            <w:r>
              <w:t>Without lime</w:t>
            </w:r>
          </w:p>
        </w:tc>
        <w:tc>
          <w:tcPr>
            <w:tcW w:w="476" w:type="pct"/>
            <w:tcBorders>
              <w:top w:val="single" w:sz="4" w:space="0" w:color="auto"/>
            </w:tcBorders>
            <w:shd w:val="clear" w:color="auto" w:fill="auto"/>
            <w:noWrap/>
            <w:vAlign w:val="bottom"/>
            <w:hideMark/>
          </w:tcPr>
          <w:p w:rsidR="00D26D9E" w:rsidRPr="002464DF" w:rsidRDefault="00D26D9E" w:rsidP="00544CED">
            <w:pPr>
              <w:pStyle w:val="NoSpacing"/>
            </w:pPr>
            <w:r w:rsidRPr="002464DF">
              <w:t xml:space="preserve">- </w:t>
            </w:r>
            <w:proofErr w:type="spellStart"/>
            <w:r w:rsidRPr="002464DF">
              <w:t>inoc</w:t>
            </w:r>
            <w:proofErr w:type="spellEnd"/>
          </w:p>
        </w:tc>
        <w:tc>
          <w:tcPr>
            <w:tcW w:w="389" w:type="pct"/>
            <w:tcBorders>
              <w:top w:val="single" w:sz="4" w:space="0" w:color="auto"/>
            </w:tcBorders>
            <w:shd w:val="clear" w:color="auto" w:fill="auto"/>
            <w:noWrap/>
            <w:vAlign w:val="bottom"/>
          </w:tcPr>
          <w:p w:rsidR="00D26D9E" w:rsidRDefault="00D26D9E" w:rsidP="00D26D9E">
            <w:pPr>
              <w:pStyle w:val="NoSpacing"/>
              <w:jc w:val="center"/>
            </w:pPr>
            <w:r>
              <w:t>803</w:t>
            </w:r>
          </w:p>
        </w:tc>
        <w:tc>
          <w:tcPr>
            <w:tcW w:w="343" w:type="pct"/>
            <w:tcBorders>
              <w:top w:val="single" w:sz="4" w:space="0" w:color="auto"/>
            </w:tcBorders>
            <w:shd w:val="clear" w:color="auto" w:fill="auto"/>
            <w:noWrap/>
            <w:vAlign w:val="bottom"/>
          </w:tcPr>
          <w:p w:rsidR="00D26D9E" w:rsidRDefault="00D26D9E" w:rsidP="00D26D9E">
            <w:pPr>
              <w:pStyle w:val="NoSpacing"/>
              <w:jc w:val="center"/>
            </w:pPr>
            <w:r>
              <w:t>960</w:t>
            </w:r>
          </w:p>
        </w:tc>
        <w:tc>
          <w:tcPr>
            <w:tcW w:w="592" w:type="pct"/>
            <w:tcBorders>
              <w:top w:val="single" w:sz="4" w:space="0" w:color="auto"/>
            </w:tcBorders>
            <w:shd w:val="clear" w:color="auto" w:fill="auto"/>
            <w:noWrap/>
            <w:vAlign w:val="bottom"/>
          </w:tcPr>
          <w:p w:rsidR="00D26D9E" w:rsidRDefault="00D26D9E" w:rsidP="00D26D9E">
            <w:pPr>
              <w:pStyle w:val="NoSpacing"/>
              <w:jc w:val="center"/>
            </w:pPr>
            <w:r>
              <w:t>1036</w:t>
            </w:r>
          </w:p>
        </w:tc>
        <w:tc>
          <w:tcPr>
            <w:tcW w:w="724" w:type="pct"/>
            <w:tcBorders>
              <w:top w:val="single" w:sz="4" w:space="0" w:color="auto"/>
            </w:tcBorders>
            <w:shd w:val="clear" w:color="auto" w:fill="auto"/>
            <w:noWrap/>
            <w:vAlign w:val="bottom"/>
          </w:tcPr>
          <w:p w:rsidR="00D26D9E" w:rsidRDefault="00D26D9E" w:rsidP="00D26D9E">
            <w:pPr>
              <w:pStyle w:val="NoSpacing"/>
              <w:jc w:val="center"/>
            </w:pPr>
            <w:r>
              <w:t>1000</w:t>
            </w:r>
          </w:p>
        </w:tc>
        <w:tc>
          <w:tcPr>
            <w:tcW w:w="330" w:type="pct"/>
            <w:tcBorders>
              <w:top w:val="single" w:sz="4" w:space="0" w:color="auto"/>
            </w:tcBorders>
            <w:shd w:val="clear" w:color="auto" w:fill="auto"/>
            <w:noWrap/>
            <w:vAlign w:val="bottom"/>
          </w:tcPr>
          <w:p w:rsidR="00D26D9E" w:rsidRDefault="00D26D9E" w:rsidP="00D26D9E">
            <w:pPr>
              <w:pStyle w:val="NoSpacing"/>
              <w:jc w:val="center"/>
            </w:pPr>
            <w:r>
              <w:t>901</w:t>
            </w:r>
          </w:p>
        </w:tc>
        <w:tc>
          <w:tcPr>
            <w:tcW w:w="485" w:type="pct"/>
            <w:tcBorders>
              <w:top w:val="single" w:sz="4" w:space="0" w:color="auto"/>
            </w:tcBorders>
            <w:shd w:val="clear" w:color="auto" w:fill="auto"/>
            <w:noWrap/>
            <w:vAlign w:val="bottom"/>
          </w:tcPr>
          <w:p w:rsidR="00D26D9E" w:rsidRDefault="00D26D9E" w:rsidP="00D26D9E">
            <w:pPr>
              <w:pStyle w:val="NoSpacing"/>
              <w:jc w:val="center"/>
            </w:pPr>
            <w:r>
              <w:t>1044</w:t>
            </w:r>
          </w:p>
        </w:tc>
        <w:tc>
          <w:tcPr>
            <w:tcW w:w="465" w:type="pct"/>
            <w:tcBorders>
              <w:top w:val="single" w:sz="4" w:space="0" w:color="auto"/>
            </w:tcBorders>
            <w:shd w:val="clear" w:color="auto" w:fill="auto"/>
            <w:noWrap/>
            <w:vAlign w:val="bottom"/>
          </w:tcPr>
          <w:p w:rsidR="00D26D9E" w:rsidRDefault="00D26D9E" w:rsidP="00D26D9E">
            <w:pPr>
              <w:pStyle w:val="NoSpacing"/>
              <w:jc w:val="center"/>
            </w:pPr>
            <w:r>
              <w:t>960</w:t>
            </w:r>
          </w:p>
        </w:tc>
        <w:tc>
          <w:tcPr>
            <w:tcW w:w="476" w:type="pct"/>
            <w:tcBorders>
              <w:top w:val="single" w:sz="4" w:space="0" w:color="auto"/>
            </w:tcBorders>
            <w:shd w:val="clear" w:color="auto" w:fill="auto"/>
            <w:noWrap/>
            <w:vAlign w:val="bottom"/>
          </w:tcPr>
          <w:p w:rsidR="00D26D9E" w:rsidRDefault="00D26D9E" w:rsidP="00D26D9E">
            <w:pPr>
              <w:pStyle w:val="NoSpacing"/>
              <w:jc w:val="center"/>
            </w:pPr>
            <w:r>
              <w:t>958</w:t>
            </w:r>
          </w:p>
        </w:tc>
      </w:tr>
      <w:tr w:rsidR="00D26D9E" w:rsidRPr="002464DF" w:rsidTr="00D26D9E">
        <w:trPr>
          <w:trHeight w:val="300"/>
        </w:trPr>
        <w:tc>
          <w:tcPr>
            <w:tcW w:w="720" w:type="pct"/>
            <w:vMerge/>
            <w:vAlign w:val="center"/>
          </w:tcPr>
          <w:p w:rsidR="00D26D9E" w:rsidRPr="002464DF" w:rsidRDefault="00D26D9E" w:rsidP="00544CED">
            <w:pPr>
              <w:pStyle w:val="NoSpacing"/>
            </w:pPr>
          </w:p>
        </w:tc>
        <w:tc>
          <w:tcPr>
            <w:tcW w:w="476" w:type="pct"/>
            <w:shd w:val="clear" w:color="auto" w:fill="auto"/>
            <w:noWrap/>
            <w:vAlign w:val="bottom"/>
            <w:hideMark/>
          </w:tcPr>
          <w:p w:rsidR="00D26D9E" w:rsidRPr="002464DF" w:rsidRDefault="00D26D9E" w:rsidP="00544CED">
            <w:pPr>
              <w:pStyle w:val="NoSpacing"/>
            </w:pPr>
            <w:r w:rsidRPr="002464DF">
              <w:t xml:space="preserve">+ </w:t>
            </w:r>
            <w:proofErr w:type="spellStart"/>
            <w:r w:rsidRPr="002464DF">
              <w:t>inoc</w:t>
            </w:r>
            <w:proofErr w:type="spellEnd"/>
          </w:p>
        </w:tc>
        <w:tc>
          <w:tcPr>
            <w:tcW w:w="389" w:type="pct"/>
            <w:shd w:val="clear" w:color="auto" w:fill="auto"/>
            <w:noWrap/>
            <w:vAlign w:val="bottom"/>
          </w:tcPr>
          <w:p w:rsidR="00D26D9E" w:rsidRDefault="00D26D9E" w:rsidP="00D26D9E">
            <w:pPr>
              <w:pStyle w:val="NoSpacing"/>
              <w:jc w:val="center"/>
            </w:pPr>
            <w:r>
              <w:t>622</w:t>
            </w:r>
          </w:p>
        </w:tc>
        <w:tc>
          <w:tcPr>
            <w:tcW w:w="343" w:type="pct"/>
            <w:shd w:val="clear" w:color="auto" w:fill="auto"/>
            <w:noWrap/>
            <w:vAlign w:val="bottom"/>
          </w:tcPr>
          <w:p w:rsidR="00D26D9E" w:rsidRDefault="00D26D9E" w:rsidP="00D26D9E">
            <w:pPr>
              <w:pStyle w:val="NoSpacing"/>
              <w:jc w:val="center"/>
            </w:pPr>
            <w:r>
              <w:t>1182</w:t>
            </w:r>
          </w:p>
        </w:tc>
        <w:tc>
          <w:tcPr>
            <w:tcW w:w="592" w:type="pct"/>
            <w:shd w:val="clear" w:color="auto" w:fill="auto"/>
            <w:noWrap/>
            <w:vAlign w:val="bottom"/>
          </w:tcPr>
          <w:p w:rsidR="00D26D9E" w:rsidRDefault="00D26D9E" w:rsidP="00D26D9E">
            <w:pPr>
              <w:pStyle w:val="NoSpacing"/>
              <w:jc w:val="center"/>
            </w:pPr>
            <w:r>
              <w:t>1184</w:t>
            </w:r>
          </w:p>
        </w:tc>
        <w:tc>
          <w:tcPr>
            <w:tcW w:w="724" w:type="pct"/>
            <w:shd w:val="clear" w:color="auto" w:fill="auto"/>
            <w:noWrap/>
            <w:vAlign w:val="bottom"/>
          </w:tcPr>
          <w:p w:rsidR="00D26D9E" w:rsidRDefault="00D26D9E" w:rsidP="00D26D9E">
            <w:pPr>
              <w:pStyle w:val="NoSpacing"/>
              <w:jc w:val="center"/>
            </w:pPr>
            <w:r>
              <w:t>1028</w:t>
            </w:r>
          </w:p>
        </w:tc>
        <w:tc>
          <w:tcPr>
            <w:tcW w:w="330" w:type="pct"/>
            <w:shd w:val="clear" w:color="auto" w:fill="auto"/>
            <w:noWrap/>
            <w:vAlign w:val="bottom"/>
          </w:tcPr>
          <w:p w:rsidR="00D26D9E" w:rsidRDefault="00D26D9E" w:rsidP="00D26D9E">
            <w:pPr>
              <w:pStyle w:val="NoSpacing"/>
              <w:jc w:val="center"/>
            </w:pPr>
            <w:r>
              <w:t>1062</w:t>
            </w:r>
          </w:p>
        </w:tc>
        <w:tc>
          <w:tcPr>
            <w:tcW w:w="485" w:type="pct"/>
            <w:shd w:val="clear" w:color="auto" w:fill="auto"/>
            <w:noWrap/>
            <w:vAlign w:val="bottom"/>
          </w:tcPr>
          <w:p w:rsidR="00D26D9E" w:rsidRDefault="00D26D9E" w:rsidP="00D26D9E">
            <w:pPr>
              <w:pStyle w:val="NoSpacing"/>
              <w:jc w:val="center"/>
            </w:pPr>
            <w:r>
              <w:t>1039</w:t>
            </w:r>
          </w:p>
        </w:tc>
        <w:tc>
          <w:tcPr>
            <w:tcW w:w="465" w:type="pct"/>
            <w:shd w:val="clear" w:color="auto" w:fill="auto"/>
            <w:noWrap/>
            <w:vAlign w:val="bottom"/>
          </w:tcPr>
          <w:p w:rsidR="00D26D9E" w:rsidRDefault="00D26D9E" w:rsidP="00D26D9E">
            <w:pPr>
              <w:pStyle w:val="NoSpacing"/>
              <w:jc w:val="center"/>
            </w:pPr>
            <w:r>
              <w:t>864</w:t>
            </w:r>
          </w:p>
        </w:tc>
        <w:tc>
          <w:tcPr>
            <w:tcW w:w="476" w:type="pct"/>
            <w:shd w:val="clear" w:color="auto" w:fill="auto"/>
            <w:noWrap/>
            <w:vAlign w:val="bottom"/>
          </w:tcPr>
          <w:p w:rsidR="00D26D9E" w:rsidRDefault="00D26D9E" w:rsidP="00D26D9E">
            <w:pPr>
              <w:pStyle w:val="NoSpacing"/>
              <w:jc w:val="center"/>
            </w:pPr>
            <w:r>
              <w:t>997</w:t>
            </w:r>
          </w:p>
        </w:tc>
      </w:tr>
      <w:tr w:rsidR="00D26D9E" w:rsidRPr="002464DF" w:rsidTr="00D26D9E">
        <w:trPr>
          <w:trHeight w:val="300"/>
        </w:trPr>
        <w:tc>
          <w:tcPr>
            <w:tcW w:w="720" w:type="pct"/>
            <w:vMerge w:val="restart"/>
            <w:vAlign w:val="center"/>
          </w:tcPr>
          <w:p w:rsidR="00D26D9E" w:rsidRPr="002464DF" w:rsidRDefault="00D26D9E" w:rsidP="00544CED">
            <w:pPr>
              <w:pStyle w:val="NoSpacing"/>
            </w:pPr>
            <w:r>
              <w:t>With lime</w:t>
            </w:r>
          </w:p>
        </w:tc>
        <w:tc>
          <w:tcPr>
            <w:tcW w:w="476" w:type="pct"/>
            <w:shd w:val="clear" w:color="auto" w:fill="auto"/>
            <w:noWrap/>
            <w:vAlign w:val="bottom"/>
            <w:hideMark/>
          </w:tcPr>
          <w:p w:rsidR="00D26D9E" w:rsidRPr="002464DF" w:rsidRDefault="00D26D9E" w:rsidP="00544CED">
            <w:pPr>
              <w:pStyle w:val="NoSpacing"/>
            </w:pPr>
            <w:r w:rsidRPr="002464DF">
              <w:t xml:space="preserve">- </w:t>
            </w:r>
            <w:proofErr w:type="spellStart"/>
            <w:r w:rsidRPr="002464DF">
              <w:t>inoc</w:t>
            </w:r>
            <w:proofErr w:type="spellEnd"/>
          </w:p>
        </w:tc>
        <w:tc>
          <w:tcPr>
            <w:tcW w:w="389" w:type="pct"/>
            <w:shd w:val="clear" w:color="auto" w:fill="auto"/>
            <w:noWrap/>
            <w:vAlign w:val="bottom"/>
          </w:tcPr>
          <w:p w:rsidR="00D26D9E" w:rsidRDefault="00D26D9E" w:rsidP="00D26D9E">
            <w:pPr>
              <w:pStyle w:val="NoSpacing"/>
              <w:jc w:val="center"/>
            </w:pPr>
            <w:r>
              <w:t>787</w:t>
            </w:r>
          </w:p>
        </w:tc>
        <w:tc>
          <w:tcPr>
            <w:tcW w:w="343" w:type="pct"/>
            <w:shd w:val="clear" w:color="auto" w:fill="auto"/>
            <w:noWrap/>
            <w:vAlign w:val="bottom"/>
          </w:tcPr>
          <w:p w:rsidR="00D26D9E" w:rsidRDefault="00D26D9E" w:rsidP="00D26D9E">
            <w:pPr>
              <w:pStyle w:val="NoSpacing"/>
              <w:jc w:val="center"/>
            </w:pPr>
            <w:r>
              <w:t>885</w:t>
            </w:r>
          </w:p>
        </w:tc>
        <w:tc>
          <w:tcPr>
            <w:tcW w:w="592" w:type="pct"/>
            <w:shd w:val="clear" w:color="auto" w:fill="auto"/>
            <w:noWrap/>
            <w:vAlign w:val="bottom"/>
          </w:tcPr>
          <w:p w:rsidR="00D26D9E" w:rsidRDefault="00D26D9E" w:rsidP="00D26D9E">
            <w:pPr>
              <w:pStyle w:val="NoSpacing"/>
              <w:jc w:val="center"/>
            </w:pPr>
            <w:r>
              <w:t>1024</w:t>
            </w:r>
          </w:p>
        </w:tc>
        <w:tc>
          <w:tcPr>
            <w:tcW w:w="724" w:type="pct"/>
            <w:shd w:val="clear" w:color="auto" w:fill="auto"/>
            <w:noWrap/>
            <w:vAlign w:val="bottom"/>
          </w:tcPr>
          <w:p w:rsidR="00D26D9E" w:rsidRDefault="00D26D9E" w:rsidP="00D26D9E">
            <w:pPr>
              <w:pStyle w:val="NoSpacing"/>
              <w:jc w:val="center"/>
            </w:pPr>
            <w:r>
              <w:t>839</w:t>
            </w:r>
          </w:p>
        </w:tc>
        <w:tc>
          <w:tcPr>
            <w:tcW w:w="330" w:type="pct"/>
            <w:shd w:val="clear" w:color="auto" w:fill="auto"/>
            <w:noWrap/>
            <w:vAlign w:val="bottom"/>
          </w:tcPr>
          <w:p w:rsidR="00D26D9E" w:rsidRDefault="00D26D9E" w:rsidP="00D26D9E">
            <w:pPr>
              <w:pStyle w:val="NoSpacing"/>
              <w:jc w:val="center"/>
            </w:pPr>
            <w:r>
              <w:t>1087</w:t>
            </w:r>
          </w:p>
        </w:tc>
        <w:tc>
          <w:tcPr>
            <w:tcW w:w="485" w:type="pct"/>
            <w:shd w:val="clear" w:color="auto" w:fill="auto"/>
            <w:noWrap/>
            <w:vAlign w:val="bottom"/>
          </w:tcPr>
          <w:p w:rsidR="00D26D9E" w:rsidRDefault="00D26D9E" w:rsidP="00D26D9E">
            <w:pPr>
              <w:pStyle w:val="NoSpacing"/>
              <w:jc w:val="center"/>
            </w:pPr>
            <w:r>
              <w:t>773</w:t>
            </w:r>
          </w:p>
        </w:tc>
        <w:tc>
          <w:tcPr>
            <w:tcW w:w="465" w:type="pct"/>
            <w:shd w:val="clear" w:color="auto" w:fill="auto"/>
            <w:noWrap/>
            <w:vAlign w:val="bottom"/>
          </w:tcPr>
          <w:p w:rsidR="00D26D9E" w:rsidRDefault="00D26D9E" w:rsidP="00D26D9E">
            <w:pPr>
              <w:pStyle w:val="NoSpacing"/>
              <w:jc w:val="center"/>
            </w:pPr>
            <w:r>
              <w:t>753</w:t>
            </w:r>
          </w:p>
        </w:tc>
        <w:tc>
          <w:tcPr>
            <w:tcW w:w="476" w:type="pct"/>
            <w:shd w:val="clear" w:color="auto" w:fill="auto"/>
            <w:noWrap/>
            <w:vAlign w:val="bottom"/>
          </w:tcPr>
          <w:p w:rsidR="00D26D9E" w:rsidRDefault="00D26D9E" w:rsidP="00D26D9E">
            <w:pPr>
              <w:pStyle w:val="NoSpacing"/>
              <w:jc w:val="center"/>
            </w:pPr>
            <w:r>
              <w:t>878</w:t>
            </w:r>
          </w:p>
        </w:tc>
      </w:tr>
      <w:tr w:rsidR="00D26D9E" w:rsidRPr="002464DF" w:rsidTr="00D26D9E">
        <w:trPr>
          <w:trHeight w:val="300"/>
        </w:trPr>
        <w:tc>
          <w:tcPr>
            <w:tcW w:w="720" w:type="pct"/>
            <w:vMerge/>
            <w:tcBorders>
              <w:bottom w:val="single" w:sz="4" w:space="0" w:color="auto"/>
            </w:tcBorders>
            <w:vAlign w:val="bottom"/>
          </w:tcPr>
          <w:p w:rsidR="00D26D9E" w:rsidRPr="002464DF" w:rsidRDefault="00D26D9E" w:rsidP="00544CED">
            <w:pPr>
              <w:pStyle w:val="NoSpacing"/>
            </w:pPr>
          </w:p>
        </w:tc>
        <w:tc>
          <w:tcPr>
            <w:tcW w:w="476" w:type="pct"/>
            <w:tcBorders>
              <w:bottom w:val="single" w:sz="4" w:space="0" w:color="auto"/>
            </w:tcBorders>
            <w:shd w:val="clear" w:color="auto" w:fill="auto"/>
            <w:noWrap/>
            <w:vAlign w:val="bottom"/>
            <w:hideMark/>
          </w:tcPr>
          <w:p w:rsidR="00D26D9E" w:rsidRPr="002464DF" w:rsidRDefault="00D26D9E" w:rsidP="00544CED">
            <w:pPr>
              <w:pStyle w:val="NoSpacing"/>
            </w:pPr>
            <w:r w:rsidRPr="002464DF">
              <w:t xml:space="preserve">+ </w:t>
            </w:r>
            <w:proofErr w:type="spellStart"/>
            <w:r w:rsidRPr="002464DF">
              <w:t>inoc</w:t>
            </w:r>
            <w:proofErr w:type="spellEnd"/>
          </w:p>
        </w:tc>
        <w:tc>
          <w:tcPr>
            <w:tcW w:w="389" w:type="pct"/>
            <w:tcBorders>
              <w:bottom w:val="single" w:sz="4" w:space="0" w:color="auto"/>
            </w:tcBorders>
            <w:shd w:val="clear" w:color="auto" w:fill="auto"/>
            <w:noWrap/>
            <w:vAlign w:val="bottom"/>
          </w:tcPr>
          <w:p w:rsidR="00D26D9E" w:rsidRDefault="00D26D9E" w:rsidP="00D26D9E">
            <w:pPr>
              <w:pStyle w:val="NoSpacing"/>
              <w:jc w:val="center"/>
            </w:pPr>
            <w:r>
              <w:t>668</w:t>
            </w:r>
          </w:p>
        </w:tc>
        <w:tc>
          <w:tcPr>
            <w:tcW w:w="343" w:type="pct"/>
            <w:tcBorders>
              <w:bottom w:val="single" w:sz="4" w:space="0" w:color="auto"/>
            </w:tcBorders>
            <w:shd w:val="clear" w:color="auto" w:fill="auto"/>
            <w:noWrap/>
            <w:vAlign w:val="bottom"/>
          </w:tcPr>
          <w:p w:rsidR="00D26D9E" w:rsidRDefault="00D26D9E" w:rsidP="00D26D9E">
            <w:pPr>
              <w:pStyle w:val="NoSpacing"/>
              <w:jc w:val="center"/>
            </w:pPr>
            <w:r>
              <w:t>1080</w:t>
            </w:r>
          </w:p>
        </w:tc>
        <w:tc>
          <w:tcPr>
            <w:tcW w:w="592" w:type="pct"/>
            <w:tcBorders>
              <w:bottom w:val="single" w:sz="4" w:space="0" w:color="auto"/>
            </w:tcBorders>
            <w:shd w:val="clear" w:color="auto" w:fill="auto"/>
            <w:noWrap/>
            <w:vAlign w:val="bottom"/>
          </w:tcPr>
          <w:p w:rsidR="00D26D9E" w:rsidRDefault="00D26D9E" w:rsidP="00D26D9E">
            <w:pPr>
              <w:pStyle w:val="NoSpacing"/>
              <w:jc w:val="center"/>
            </w:pPr>
            <w:r>
              <w:t>1127</w:t>
            </w:r>
          </w:p>
        </w:tc>
        <w:tc>
          <w:tcPr>
            <w:tcW w:w="724" w:type="pct"/>
            <w:tcBorders>
              <w:bottom w:val="single" w:sz="4" w:space="0" w:color="auto"/>
            </w:tcBorders>
            <w:shd w:val="clear" w:color="auto" w:fill="auto"/>
            <w:noWrap/>
            <w:vAlign w:val="bottom"/>
          </w:tcPr>
          <w:p w:rsidR="00D26D9E" w:rsidRDefault="00D26D9E" w:rsidP="00D26D9E">
            <w:pPr>
              <w:pStyle w:val="NoSpacing"/>
              <w:jc w:val="center"/>
            </w:pPr>
            <w:r>
              <w:t>1131</w:t>
            </w:r>
          </w:p>
        </w:tc>
        <w:tc>
          <w:tcPr>
            <w:tcW w:w="330" w:type="pct"/>
            <w:tcBorders>
              <w:bottom w:val="single" w:sz="4" w:space="0" w:color="auto"/>
            </w:tcBorders>
            <w:shd w:val="clear" w:color="auto" w:fill="auto"/>
            <w:noWrap/>
            <w:vAlign w:val="bottom"/>
          </w:tcPr>
          <w:p w:rsidR="00D26D9E" w:rsidRDefault="00D26D9E" w:rsidP="00D26D9E">
            <w:pPr>
              <w:pStyle w:val="NoSpacing"/>
              <w:jc w:val="center"/>
            </w:pPr>
            <w:r>
              <w:t>1253</w:t>
            </w:r>
          </w:p>
        </w:tc>
        <w:tc>
          <w:tcPr>
            <w:tcW w:w="485" w:type="pct"/>
            <w:tcBorders>
              <w:bottom w:val="single" w:sz="4" w:space="0" w:color="auto"/>
            </w:tcBorders>
            <w:shd w:val="clear" w:color="auto" w:fill="auto"/>
            <w:noWrap/>
            <w:vAlign w:val="bottom"/>
          </w:tcPr>
          <w:p w:rsidR="00D26D9E" w:rsidRDefault="00D26D9E" w:rsidP="00D26D9E">
            <w:pPr>
              <w:pStyle w:val="NoSpacing"/>
              <w:jc w:val="center"/>
            </w:pPr>
            <w:r>
              <w:t>1074</w:t>
            </w:r>
          </w:p>
        </w:tc>
        <w:tc>
          <w:tcPr>
            <w:tcW w:w="465" w:type="pct"/>
            <w:tcBorders>
              <w:bottom w:val="single" w:sz="4" w:space="0" w:color="auto"/>
            </w:tcBorders>
            <w:shd w:val="clear" w:color="auto" w:fill="auto"/>
            <w:noWrap/>
            <w:vAlign w:val="bottom"/>
          </w:tcPr>
          <w:p w:rsidR="00D26D9E" w:rsidRDefault="00D26D9E" w:rsidP="00D26D9E">
            <w:pPr>
              <w:pStyle w:val="NoSpacing"/>
              <w:jc w:val="center"/>
            </w:pPr>
            <w:r>
              <w:t>1238</w:t>
            </w:r>
          </w:p>
        </w:tc>
        <w:tc>
          <w:tcPr>
            <w:tcW w:w="476" w:type="pct"/>
            <w:tcBorders>
              <w:bottom w:val="single" w:sz="4" w:space="0" w:color="auto"/>
            </w:tcBorders>
            <w:shd w:val="clear" w:color="auto" w:fill="auto"/>
            <w:noWrap/>
            <w:vAlign w:val="bottom"/>
          </w:tcPr>
          <w:p w:rsidR="00D26D9E" w:rsidRDefault="00D26D9E" w:rsidP="00D26D9E">
            <w:pPr>
              <w:pStyle w:val="NoSpacing"/>
              <w:jc w:val="center"/>
            </w:pPr>
            <w:r>
              <w:t>1082</w:t>
            </w:r>
          </w:p>
        </w:tc>
      </w:tr>
      <w:tr w:rsidR="00D26D9E" w:rsidRPr="002464DF" w:rsidTr="00D26D9E">
        <w:trPr>
          <w:trHeight w:val="300"/>
        </w:trPr>
        <w:tc>
          <w:tcPr>
            <w:tcW w:w="720" w:type="pct"/>
            <w:tcBorders>
              <w:top w:val="single" w:sz="4" w:space="0" w:color="auto"/>
              <w:bottom w:val="single" w:sz="4" w:space="0" w:color="auto"/>
            </w:tcBorders>
            <w:vAlign w:val="bottom"/>
          </w:tcPr>
          <w:p w:rsidR="00D26D9E" w:rsidRPr="002464DF" w:rsidRDefault="00D26D9E" w:rsidP="00544CED">
            <w:pPr>
              <w:pStyle w:val="NoSpacing"/>
            </w:pPr>
          </w:p>
        </w:tc>
        <w:tc>
          <w:tcPr>
            <w:tcW w:w="476" w:type="pct"/>
            <w:tcBorders>
              <w:top w:val="single" w:sz="4" w:space="0" w:color="auto"/>
              <w:bottom w:val="single" w:sz="4" w:space="0" w:color="auto"/>
            </w:tcBorders>
            <w:shd w:val="clear" w:color="auto" w:fill="auto"/>
            <w:noWrap/>
            <w:vAlign w:val="bottom"/>
            <w:hideMark/>
          </w:tcPr>
          <w:p w:rsidR="00D26D9E" w:rsidRPr="002464DF" w:rsidRDefault="00D26D9E" w:rsidP="00544CED">
            <w:pPr>
              <w:pStyle w:val="NoSpacing"/>
            </w:pPr>
            <w:r>
              <w:t>A</w:t>
            </w:r>
            <w:r w:rsidRPr="002464DF">
              <w:t>verage</w:t>
            </w:r>
          </w:p>
        </w:tc>
        <w:tc>
          <w:tcPr>
            <w:tcW w:w="389" w:type="pct"/>
            <w:tcBorders>
              <w:top w:val="single" w:sz="4" w:space="0" w:color="auto"/>
              <w:bottom w:val="single" w:sz="4" w:space="0" w:color="auto"/>
            </w:tcBorders>
            <w:shd w:val="clear" w:color="auto" w:fill="auto"/>
            <w:noWrap/>
            <w:vAlign w:val="bottom"/>
          </w:tcPr>
          <w:p w:rsidR="00D26D9E" w:rsidRDefault="00D26D9E" w:rsidP="00D26D9E">
            <w:pPr>
              <w:pStyle w:val="NoSpacing"/>
              <w:jc w:val="center"/>
            </w:pPr>
            <w:r>
              <w:t>720</w:t>
            </w:r>
          </w:p>
        </w:tc>
        <w:tc>
          <w:tcPr>
            <w:tcW w:w="343" w:type="pct"/>
            <w:tcBorders>
              <w:top w:val="single" w:sz="4" w:space="0" w:color="auto"/>
              <w:bottom w:val="single" w:sz="4" w:space="0" w:color="auto"/>
            </w:tcBorders>
            <w:shd w:val="clear" w:color="auto" w:fill="auto"/>
            <w:noWrap/>
            <w:vAlign w:val="bottom"/>
          </w:tcPr>
          <w:p w:rsidR="00D26D9E" w:rsidRDefault="00D26D9E" w:rsidP="00D26D9E">
            <w:pPr>
              <w:pStyle w:val="NoSpacing"/>
              <w:jc w:val="center"/>
            </w:pPr>
            <w:r>
              <w:t>1027</w:t>
            </w:r>
          </w:p>
        </w:tc>
        <w:tc>
          <w:tcPr>
            <w:tcW w:w="592" w:type="pct"/>
            <w:tcBorders>
              <w:top w:val="single" w:sz="4" w:space="0" w:color="auto"/>
              <w:bottom w:val="single" w:sz="4" w:space="0" w:color="auto"/>
            </w:tcBorders>
            <w:shd w:val="clear" w:color="auto" w:fill="auto"/>
            <w:noWrap/>
            <w:vAlign w:val="bottom"/>
          </w:tcPr>
          <w:p w:rsidR="00D26D9E" w:rsidRDefault="00D26D9E" w:rsidP="00D26D9E">
            <w:pPr>
              <w:pStyle w:val="NoSpacing"/>
              <w:jc w:val="center"/>
            </w:pPr>
            <w:r>
              <w:t>1093</w:t>
            </w:r>
          </w:p>
        </w:tc>
        <w:tc>
          <w:tcPr>
            <w:tcW w:w="724" w:type="pct"/>
            <w:tcBorders>
              <w:top w:val="single" w:sz="4" w:space="0" w:color="auto"/>
              <w:bottom w:val="single" w:sz="4" w:space="0" w:color="auto"/>
            </w:tcBorders>
            <w:shd w:val="clear" w:color="auto" w:fill="auto"/>
            <w:noWrap/>
            <w:vAlign w:val="bottom"/>
          </w:tcPr>
          <w:p w:rsidR="00D26D9E" w:rsidRDefault="00D26D9E" w:rsidP="00D26D9E">
            <w:pPr>
              <w:pStyle w:val="NoSpacing"/>
              <w:jc w:val="center"/>
            </w:pPr>
            <w:r>
              <w:t>999</w:t>
            </w:r>
          </w:p>
        </w:tc>
        <w:tc>
          <w:tcPr>
            <w:tcW w:w="330" w:type="pct"/>
            <w:tcBorders>
              <w:top w:val="single" w:sz="4" w:space="0" w:color="auto"/>
              <w:bottom w:val="single" w:sz="4" w:space="0" w:color="auto"/>
            </w:tcBorders>
            <w:shd w:val="clear" w:color="auto" w:fill="auto"/>
            <w:noWrap/>
            <w:vAlign w:val="bottom"/>
          </w:tcPr>
          <w:p w:rsidR="00D26D9E" w:rsidRDefault="00D26D9E" w:rsidP="00D26D9E">
            <w:pPr>
              <w:pStyle w:val="NoSpacing"/>
              <w:jc w:val="center"/>
            </w:pPr>
            <w:r>
              <w:t>1076</w:t>
            </w:r>
          </w:p>
        </w:tc>
        <w:tc>
          <w:tcPr>
            <w:tcW w:w="485" w:type="pct"/>
            <w:tcBorders>
              <w:top w:val="single" w:sz="4" w:space="0" w:color="auto"/>
              <w:bottom w:val="single" w:sz="4" w:space="0" w:color="auto"/>
            </w:tcBorders>
            <w:shd w:val="clear" w:color="auto" w:fill="auto"/>
            <w:noWrap/>
            <w:vAlign w:val="bottom"/>
          </w:tcPr>
          <w:p w:rsidR="00D26D9E" w:rsidRDefault="00D26D9E" w:rsidP="00D26D9E">
            <w:pPr>
              <w:pStyle w:val="NoSpacing"/>
              <w:jc w:val="center"/>
            </w:pPr>
            <w:r>
              <w:t>983</w:t>
            </w:r>
          </w:p>
        </w:tc>
        <w:tc>
          <w:tcPr>
            <w:tcW w:w="465" w:type="pct"/>
            <w:tcBorders>
              <w:top w:val="single" w:sz="4" w:space="0" w:color="auto"/>
              <w:bottom w:val="single" w:sz="4" w:space="0" w:color="auto"/>
            </w:tcBorders>
            <w:shd w:val="clear" w:color="auto" w:fill="auto"/>
            <w:noWrap/>
            <w:vAlign w:val="bottom"/>
          </w:tcPr>
          <w:p w:rsidR="00D26D9E" w:rsidRDefault="00D26D9E" w:rsidP="00D26D9E">
            <w:pPr>
              <w:pStyle w:val="NoSpacing"/>
              <w:jc w:val="center"/>
            </w:pPr>
            <w:r>
              <w:t>954</w:t>
            </w:r>
          </w:p>
        </w:tc>
        <w:tc>
          <w:tcPr>
            <w:tcW w:w="476" w:type="pct"/>
            <w:tcBorders>
              <w:top w:val="single" w:sz="4" w:space="0" w:color="auto"/>
              <w:bottom w:val="single" w:sz="4" w:space="0" w:color="auto"/>
            </w:tcBorders>
            <w:shd w:val="clear" w:color="auto" w:fill="auto"/>
            <w:noWrap/>
            <w:vAlign w:val="bottom"/>
          </w:tcPr>
          <w:p w:rsidR="00D26D9E" w:rsidRDefault="00D26D9E" w:rsidP="00D26D9E">
            <w:pPr>
              <w:pStyle w:val="NoSpacing"/>
              <w:jc w:val="center"/>
            </w:pPr>
            <w:r>
              <w:t>979</w:t>
            </w:r>
          </w:p>
        </w:tc>
      </w:tr>
    </w:tbl>
    <w:p w:rsidR="00544CED" w:rsidRDefault="00544CED" w:rsidP="00544CED">
      <w:pPr>
        <w:pStyle w:val="NoSpacing"/>
      </w:pPr>
    </w:p>
    <w:p w:rsidR="004839EB" w:rsidRDefault="004839EB" w:rsidP="00544CED">
      <w:pPr>
        <w:pStyle w:val="NoSpacing"/>
      </w:pPr>
      <w:r>
        <w:rPr>
          <w:noProof/>
          <w:lang w:val="en-US"/>
        </w:rPr>
        <w:drawing>
          <wp:inline distT="0" distB="0" distL="0" distR="0" wp14:anchorId="17FDDAD1" wp14:editId="5E3B674B">
            <wp:extent cx="4572000" cy="2743200"/>
            <wp:effectExtent l="0" t="0" r="19050" b="1905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839EB" w:rsidRDefault="004839EB" w:rsidP="00544CED">
      <w:pPr>
        <w:pStyle w:val="NoSpacing"/>
      </w:pPr>
    </w:p>
    <w:p w:rsidR="004839EB" w:rsidRDefault="004839EB" w:rsidP="00544CED">
      <w:pPr>
        <w:pStyle w:val="NoSpacing"/>
      </w:pPr>
      <w:r>
        <w:rPr>
          <w:noProof/>
          <w:lang w:val="en-US"/>
        </w:rPr>
        <w:drawing>
          <wp:inline distT="0" distB="0" distL="0" distR="0" wp14:anchorId="4571E59F" wp14:editId="27F68130">
            <wp:extent cx="4572000" cy="2743200"/>
            <wp:effectExtent l="0" t="0" r="19050" b="1905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839EB" w:rsidRDefault="004839EB" w:rsidP="00544CED">
      <w:pPr>
        <w:pStyle w:val="NoSpacing"/>
      </w:pPr>
    </w:p>
    <w:p w:rsidR="009F15CA" w:rsidRDefault="009F15CA" w:rsidP="00544CED">
      <w:pPr>
        <w:pStyle w:val="NoSpacing"/>
      </w:pPr>
    </w:p>
    <w:p w:rsidR="002E4633" w:rsidRDefault="002E4633">
      <w:pPr>
        <w:rPr>
          <w:rFonts w:ascii="Verdana" w:hAnsi="Verdana"/>
          <w:i/>
          <w:sz w:val="17"/>
          <w:lang w:val="en-GB"/>
        </w:rPr>
      </w:pPr>
      <w:r>
        <w:rPr>
          <w:i/>
        </w:rPr>
        <w:br w:type="page"/>
      </w:r>
    </w:p>
    <w:p w:rsidR="00544CED" w:rsidRPr="00D26D9E" w:rsidRDefault="00D26D9E" w:rsidP="00544CED">
      <w:pPr>
        <w:pStyle w:val="NoSpacing"/>
        <w:rPr>
          <w:i/>
        </w:rPr>
      </w:pPr>
      <w:r w:rsidRPr="00D26D9E">
        <w:rPr>
          <w:i/>
        </w:rPr>
        <w:lastRenderedPageBreak/>
        <w:t>Stover yield (kg/ha)</w:t>
      </w:r>
    </w:p>
    <w:tbl>
      <w:tblPr>
        <w:tblW w:w="5000" w:type="pct"/>
        <w:tblBorders>
          <w:top w:val="single" w:sz="4" w:space="0" w:color="auto"/>
          <w:bottom w:val="single" w:sz="4" w:space="0" w:color="auto"/>
        </w:tblBorders>
        <w:tblLook w:val="04A0" w:firstRow="1" w:lastRow="0" w:firstColumn="1" w:lastColumn="0" w:noHBand="0" w:noVBand="1"/>
      </w:tblPr>
      <w:tblGrid>
        <w:gridCol w:w="1383"/>
        <w:gridCol w:w="916"/>
        <w:gridCol w:w="746"/>
        <w:gridCol w:w="657"/>
        <w:gridCol w:w="1136"/>
        <w:gridCol w:w="1394"/>
        <w:gridCol w:w="649"/>
        <w:gridCol w:w="931"/>
        <w:gridCol w:w="894"/>
        <w:gridCol w:w="916"/>
      </w:tblGrid>
      <w:tr w:rsidR="00544CED" w:rsidRPr="002464DF" w:rsidTr="00D26D9E">
        <w:trPr>
          <w:trHeight w:val="300"/>
        </w:trPr>
        <w:tc>
          <w:tcPr>
            <w:tcW w:w="720" w:type="pct"/>
            <w:tcBorders>
              <w:top w:val="single" w:sz="4" w:space="0" w:color="auto"/>
              <w:bottom w:val="single" w:sz="4" w:space="0" w:color="auto"/>
            </w:tcBorders>
            <w:vAlign w:val="bottom"/>
          </w:tcPr>
          <w:p w:rsidR="00544CED" w:rsidRPr="002464DF" w:rsidRDefault="00544CED" w:rsidP="00544CED">
            <w:pPr>
              <w:pStyle w:val="NoSpacing"/>
            </w:pPr>
          </w:p>
        </w:tc>
        <w:tc>
          <w:tcPr>
            <w:tcW w:w="476" w:type="pct"/>
            <w:tcBorders>
              <w:top w:val="single" w:sz="4" w:space="0" w:color="auto"/>
              <w:bottom w:val="single" w:sz="4" w:space="0" w:color="auto"/>
            </w:tcBorders>
            <w:shd w:val="clear" w:color="auto" w:fill="auto"/>
            <w:noWrap/>
            <w:vAlign w:val="bottom"/>
            <w:hideMark/>
          </w:tcPr>
          <w:p w:rsidR="00544CED" w:rsidRPr="002464DF" w:rsidRDefault="00544CED" w:rsidP="00544CED">
            <w:pPr>
              <w:pStyle w:val="NoSpacing"/>
            </w:pPr>
          </w:p>
        </w:tc>
        <w:tc>
          <w:tcPr>
            <w:tcW w:w="389" w:type="pct"/>
            <w:tcBorders>
              <w:top w:val="single" w:sz="4" w:space="0" w:color="auto"/>
              <w:bottom w:val="single" w:sz="4" w:space="0" w:color="auto"/>
            </w:tcBorders>
            <w:shd w:val="clear" w:color="auto" w:fill="auto"/>
            <w:noWrap/>
            <w:vAlign w:val="bottom"/>
            <w:hideMark/>
          </w:tcPr>
          <w:p w:rsidR="00544CED" w:rsidRPr="002464DF" w:rsidRDefault="00544CED" w:rsidP="00544CED">
            <w:pPr>
              <w:pStyle w:val="NoSpacing"/>
            </w:pPr>
            <w:r>
              <w:t>None</w:t>
            </w:r>
          </w:p>
        </w:tc>
        <w:tc>
          <w:tcPr>
            <w:tcW w:w="343" w:type="pct"/>
            <w:tcBorders>
              <w:top w:val="single" w:sz="4" w:space="0" w:color="auto"/>
              <w:bottom w:val="single" w:sz="4" w:space="0" w:color="auto"/>
            </w:tcBorders>
            <w:shd w:val="clear" w:color="auto" w:fill="auto"/>
            <w:noWrap/>
            <w:vAlign w:val="bottom"/>
            <w:hideMark/>
          </w:tcPr>
          <w:p w:rsidR="00544CED" w:rsidRPr="002464DF" w:rsidRDefault="00544CED" w:rsidP="00544CED">
            <w:pPr>
              <w:pStyle w:val="NoSpacing"/>
            </w:pPr>
            <w:r w:rsidRPr="002464DF">
              <w:t>DAP</w:t>
            </w:r>
          </w:p>
        </w:tc>
        <w:tc>
          <w:tcPr>
            <w:tcW w:w="592" w:type="pct"/>
            <w:tcBorders>
              <w:top w:val="single" w:sz="4" w:space="0" w:color="auto"/>
              <w:bottom w:val="single" w:sz="4" w:space="0" w:color="auto"/>
            </w:tcBorders>
            <w:shd w:val="clear" w:color="auto" w:fill="auto"/>
            <w:noWrap/>
            <w:vAlign w:val="bottom"/>
            <w:hideMark/>
          </w:tcPr>
          <w:p w:rsidR="00544CED" w:rsidRPr="002464DF" w:rsidRDefault="00544CED" w:rsidP="00544CED">
            <w:pPr>
              <w:pStyle w:val="NoSpacing"/>
            </w:pPr>
            <w:r w:rsidRPr="002464DF">
              <w:t>MRP-DUST</w:t>
            </w:r>
          </w:p>
        </w:tc>
        <w:tc>
          <w:tcPr>
            <w:tcW w:w="724" w:type="pct"/>
            <w:tcBorders>
              <w:top w:val="single" w:sz="4" w:space="0" w:color="auto"/>
              <w:bottom w:val="single" w:sz="4" w:space="0" w:color="auto"/>
            </w:tcBorders>
            <w:shd w:val="clear" w:color="auto" w:fill="auto"/>
            <w:noWrap/>
            <w:vAlign w:val="bottom"/>
            <w:hideMark/>
          </w:tcPr>
          <w:p w:rsidR="00544CED" w:rsidRPr="002464DF" w:rsidRDefault="00544CED" w:rsidP="00544CED">
            <w:pPr>
              <w:pStyle w:val="NoSpacing"/>
            </w:pPr>
            <w:r w:rsidRPr="002464DF">
              <w:t>MRP-PALLETS</w:t>
            </w:r>
          </w:p>
        </w:tc>
        <w:tc>
          <w:tcPr>
            <w:tcW w:w="330" w:type="pct"/>
            <w:tcBorders>
              <w:top w:val="single" w:sz="4" w:space="0" w:color="auto"/>
              <w:bottom w:val="single" w:sz="4" w:space="0" w:color="auto"/>
            </w:tcBorders>
            <w:shd w:val="clear" w:color="auto" w:fill="auto"/>
            <w:noWrap/>
            <w:vAlign w:val="bottom"/>
            <w:hideMark/>
          </w:tcPr>
          <w:p w:rsidR="00544CED" w:rsidRPr="002464DF" w:rsidRDefault="00544CED" w:rsidP="00544CED">
            <w:pPr>
              <w:pStyle w:val="NoSpacing"/>
            </w:pPr>
            <w:r w:rsidRPr="002464DF">
              <w:t>TSP</w:t>
            </w:r>
          </w:p>
        </w:tc>
        <w:tc>
          <w:tcPr>
            <w:tcW w:w="485" w:type="pct"/>
            <w:tcBorders>
              <w:top w:val="single" w:sz="4" w:space="0" w:color="auto"/>
              <w:bottom w:val="single" w:sz="4" w:space="0" w:color="auto"/>
            </w:tcBorders>
            <w:shd w:val="clear" w:color="auto" w:fill="auto"/>
            <w:noWrap/>
            <w:vAlign w:val="bottom"/>
            <w:hideMark/>
          </w:tcPr>
          <w:p w:rsidR="00544CED" w:rsidRPr="002464DF" w:rsidRDefault="00544CED" w:rsidP="00544CED">
            <w:pPr>
              <w:pStyle w:val="NoSpacing"/>
            </w:pPr>
            <w:r w:rsidRPr="002464DF">
              <w:t>TSP/</w:t>
            </w:r>
            <w:proofErr w:type="spellStart"/>
            <w:r w:rsidRPr="002464DF">
              <w:t>KC</w:t>
            </w:r>
            <w:r>
              <w:t>l</w:t>
            </w:r>
            <w:proofErr w:type="spellEnd"/>
          </w:p>
        </w:tc>
        <w:tc>
          <w:tcPr>
            <w:tcW w:w="465" w:type="pct"/>
            <w:tcBorders>
              <w:top w:val="single" w:sz="4" w:space="0" w:color="auto"/>
              <w:bottom w:val="single" w:sz="4" w:space="0" w:color="auto"/>
            </w:tcBorders>
            <w:shd w:val="clear" w:color="auto" w:fill="auto"/>
            <w:noWrap/>
            <w:vAlign w:val="bottom"/>
            <w:hideMark/>
          </w:tcPr>
          <w:p w:rsidR="00544CED" w:rsidRPr="002464DF" w:rsidRDefault="00544CED" w:rsidP="00544CED">
            <w:pPr>
              <w:pStyle w:val="NoSpacing"/>
            </w:pPr>
            <w:r w:rsidRPr="002464DF">
              <w:t>SYMPAL</w:t>
            </w:r>
          </w:p>
        </w:tc>
        <w:tc>
          <w:tcPr>
            <w:tcW w:w="476" w:type="pct"/>
            <w:tcBorders>
              <w:top w:val="single" w:sz="4" w:space="0" w:color="auto"/>
              <w:bottom w:val="single" w:sz="4" w:space="0" w:color="auto"/>
            </w:tcBorders>
            <w:shd w:val="clear" w:color="auto" w:fill="auto"/>
            <w:noWrap/>
            <w:vAlign w:val="bottom"/>
            <w:hideMark/>
          </w:tcPr>
          <w:p w:rsidR="00544CED" w:rsidRPr="002464DF" w:rsidRDefault="00544CED" w:rsidP="00544CED">
            <w:pPr>
              <w:pStyle w:val="NoSpacing"/>
            </w:pPr>
            <w:r w:rsidRPr="002464DF">
              <w:t>Average</w:t>
            </w:r>
          </w:p>
        </w:tc>
      </w:tr>
      <w:tr w:rsidR="00D26D9E" w:rsidRPr="002464DF" w:rsidTr="000D000C">
        <w:trPr>
          <w:trHeight w:val="300"/>
        </w:trPr>
        <w:tc>
          <w:tcPr>
            <w:tcW w:w="721" w:type="pct"/>
            <w:vMerge w:val="restart"/>
            <w:tcBorders>
              <w:top w:val="single" w:sz="4" w:space="0" w:color="auto"/>
            </w:tcBorders>
            <w:vAlign w:val="center"/>
          </w:tcPr>
          <w:p w:rsidR="00D26D9E" w:rsidRPr="002464DF" w:rsidRDefault="00D26D9E" w:rsidP="00544CED">
            <w:pPr>
              <w:pStyle w:val="NoSpacing"/>
            </w:pPr>
            <w:r>
              <w:t>Without lime</w:t>
            </w:r>
          </w:p>
        </w:tc>
        <w:tc>
          <w:tcPr>
            <w:tcW w:w="476" w:type="pct"/>
            <w:tcBorders>
              <w:top w:val="single" w:sz="4" w:space="0" w:color="auto"/>
            </w:tcBorders>
            <w:shd w:val="clear" w:color="auto" w:fill="auto"/>
            <w:noWrap/>
            <w:vAlign w:val="bottom"/>
            <w:hideMark/>
          </w:tcPr>
          <w:p w:rsidR="00D26D9E" w:rsidRPr="002464DF" w:rsidRDefault="00D26D9E" w:rsidP="00544CED">
            <w:pPr>
              <w:pStyle w:val="NoSpacing"/>
            </w:pPr>
            <w:r w:rsidRPr="002464DF">
              <w:t xml:space="preserve">- </w:t>
            </w:r>
            <w:proofErr w:type="spellStart"/>
            <w:r w:rsidRPr="002464DF">
              <w:t>inoc</w:t>
            </w:r>
            <w:proofErr w:type="spellEnd"/>
          </w:p>
        </w:tc>
        <w:tc>
          <w:tcPr>
            <w:tcW w:w="389" w:type="pct"/>
            <w:tcBorders>
              <w:top w:val="single" w:sz="4" w:space="0" w:color="auto"/>
            </w:tcBorders>
            <w:shd w:val="clear" w:color="auto" w:fill="auto"/>
            <w:noWrap/>
            <w:vAlign w:val="bottom"/>
          </w:tcPr>
          <w:p w:rsidR="00D26D9E" w:rsidRDefault="00D26D9E" w:rsidP="00D26D9E">
            <w:pPr>
              <w:pStyle w:val="NoSpacing"/>
              <w:jc w:val="center"/>
            </w:pPr>
            <w:r>
              <w:t>1068</w:t>
            </w:r>
          </w:p>
        </w:tc>
        <w:tc>
          <w:tcPr>
            <w:tcW w:w="343" w:type="pct"/>
            <w:tcBorders>
              <w:top w:val="single" w:sz="4" w:space="0" w:color="auto"/>
            </w:tcBorders>
            <w:shd w:val="clear" w:color="auto" w:fill="auto"/>
            <w:noWrap/>
            <w:vAlign w:val="bottom"/>
          </w:tcPr>
          <w:p w:rsidR="00D26D9E" w:rsidRDefault="00D26D9E" w:rsidP="00D26D9E">
            <w:pPr>
              <w:pStyle w:val="NoSpacing"/>
              <w:jc w:val="center"/>
            </w:pPr>
            <w:r>
              <w:t>1058</w:t>
            </w:r>
          </w:p>
        </w:tc>
        <w:tc>
          <w:tcPr>
            <w:tcW w:w="592" w:type="pct"/>
            <w:tcBorders>
              <w:top w:val="single" w:sz="4" w:space="0" w:color="auto"/>
            </w:tcBorders>
            <w:shd w:val="clear" w:color="auto" w:fill="auto"/>
            <w:noWrap/>
            <w:vAlign w:val="bottom"/>
          </w:tcPr>
          <w:p w:rsidR="00D26D9E" w:rsidRDefault="00D26D9E" w:rsidP="00D26D9E">
            <w:pPr>
              <w:pStyle w:val="NoSpacing"/>
              <w:jc w:val="center"/>
            </w:pPr>
            <w:r>
              <w:t>1256</w:t>
            </w:r>
          </w:p>
        </w:tc>
        <w:tc>
          <w:tcPr>
            <w:tcW w:w="724" w:type="pct"/>
            <w:tcBorders>
              <w:top w:val="single" w:sz="4" w:space="0" w:color="auto"/>
            </w:tcBorders>
            <w:shd w:val="clear" w:color="auto" w:fill="auto"/>
            <w:noWrap/>
            <w:vAlign w:val="bottom"/>
          </w:tcPr>
          <w:p w:rsidR="00D26D9E" w:rsidRDefault="00D26D9E" w:rsidP="00D26D9E">
            <w:pPr>
              <w:pStyle w:val="NoSpacing"/>
              <w:jc w:val="center"/>
            </w:pPr>
            <w:r>
              <w:t>1238</w:t>
            </w:r>
          </w:p>
        </w:tc>
        <w:tc>
          <w:tcPr>
            <w:tcW w:w="330" w:type="pct"/>
            <w:tcBorders>
              <w:top w:val="single" w:sz="4" w:space="0" w:color="auto"/>
            </w:tcBorders>
            <w:shd w:val="clear" w:color="auto" w:fill="auto"/>
            <w:noWrap/>
            <w:vAlign w:val="bottom"/>
          </w:tcPr>
          <w:p w:rsidR="00D26D9E" w:rsidRDefault="00D26D9E" w:rsidP="00D26D9E">
            <w:pPr>
              <w:pStyle w:val="NoSpacing"/>
              <w:jc w:val="center"/>
            </w:pPr>
            <w:r>
              <w:t>1154</w:t>
            </w:r>
          </w:p>
        </w:tc>
        <w:tc>
          <w:tcPr>
            <w:tcW w:w="485" w:type="pct"/>
            <w:tcBorders>
              <w:top w:val="single" w:sz="4" w:space="0" w:color="auto"/>
            </w:tcBorders>
            <w:shd w:val="clear" w:color="auto" w:fill="auto"/>
            <w:noWrap/>
            <w:vAlign w:val="bottom"/>
          </w:tcPr>
          <w:p w:rsidR="00D26D9E" w:rsidRDefault="00D26D9E" w:rsidP="00D26D9E">
            <w:pPr>
              <w:pStyle w:val="NoSpacing"/>
              <w:jc w:val="center"/>
            </w:pPr>
            <w:r>
              <w:t>1290</w:t>
            </w:r>
          </w:p>
        </w:tc>
        <w:tc>
          <w:tcPr>
            <w:tcW w:w="465" w:type="pct"/>
            <w:tcBorders>
              <w:top w:val="single" w:sz="4" w:space="0" w:color="auto"/>
            </w:tcBorders>
            <w:shd w:val="clear" w:color="auto" w:fill="auto"/>
            <w:noWrap/>
            <w:vAlign w:val="bottom"/>
          </w:tcPr>
          <w:p w:rsidR="00D26D9E" w:rsidRDefault="00D26D9E" w:rsidP="00D26D9E">
            <w:pPr>
              <w:pStyle w:val="NoSpacing"/>
              <w:jc w:val="center"/>
            </w:pPr>
            <w:r>
              <w:t>1179</w:t>
            </w:r>
          </w:p>
        </w:tc>
        <w:tc>
          <w:tcPr>
            <w:tcW w:w="476" w:type="pct"/>
            <w:tcBorders>
              <w:top w:val="single" w:sz="4" w:space="0" w:color="auto"/>
            </w:tcBorders>
            <w:shd w:val="clear" w:color="auto" w:fill="auto"/>
            <w:noWrap/>
            <w:vAlign w:val="bottom"/>
          </w:tcPr>
          <w:p w:rsidR="00D26D9E" w:rsidRDefault="00D26D9E" w:rsidP="00D26D9E">
            <w:pPr>
              <w:pStyle w:val="NoSpacing"/>
              <w:jc w:val="center"/>
            </w:pPr>
            <w:r>
              <w:t>1178</w:t>
            </w:r>
          </w:p>
        </w:tc>
      </w:tr>
      <w:tr w:rsidR="00D26D9E" w:rsidRPr="002464DF" w:rsidTr="00D26D9E">
        <w:trPr>
          <w:trHeight w:val="300"/>
        </w:trPr>
        <w:tc>
          <w:tcPr>
            <w:tcW w:w="720" w:type="pct"/>
            <w:vMerge/>
            <w:vAlign w:val="center"/>
          </w:tcPr>
          <w:p w:rsidR="00D26D9E" w:rsidRPr="002464DF" w:rsidRDefault="00D26D9E" w:rsidP="00544CED">
            <w:pPr>
              <w:pStyle w:val="NoSpacing"/>
            </w:pPr>
          </w:p>
        </w:tc>
        <w:tc>
          <w:tcPr>
            <w:tcW w:w="476" w:type="pct"/>
            <w:shd w:val="clear" w:color="auto" w:fill="auto"/>
            <w:noWrap/>
            <w:vAlign w:val="bottom"/>
            <w:hideMark/>
          </w:tcPr>
          <w:p w:rsidR="00D26D9E" w:rsidRPr="002464DF" w:rsidRDefault="00D26D9E" w:rsidP="00544CED">
            <w:pPr>
              <w:pStyle w:val="NoSpacing"/>
            </w:pPr>
            <w:r w:rsidRPr="002464DF">
              <w:t xml:space="preserve">+ </w:t>
            </w:r>
            <w:proofErr w:type="spellStart"/>
            <w:r w:rsidRPr="002464DF">
              <w:t>inoc</w:t>
            </w:r>
            <w:proofErr w:type="spellEnd"/>
          </w:p>
        </w:tc>
        <w:tc>
          <w:tcPr>
            <w:tcW w:w="389" w:type="pct"/>
            <w:shd w:val="clear" w:color="auto" w:fill="auto"/>
            <w:noWrap/>
            <w:vAlign w:val="bottom"/>
          </w:tcPr>
          <w:p w:rsidR="00D26D9E" w:rsidRDefault="00D26D9E" w:rsidP="00D26D9E">
            <w:pPr>
              <w:pStyle w:val="NoSpacing"/>
              <w:jc w:val="center"/>
            </w:pPr>
            <w:r>
              <w:t>1059</w:t>
            </w:r>
          </w:p>
        </w:tc>
        <w:tc>
          <w:tcPr>
            <w:tcW w:w="343" w:type="pct"/>
            <w:shd w:val="clear" w:color="auto" w:fill="auto"/>
            <w:noWrap/>
            <w:vAlign w:val="bottom"/>
          </w:tcPr>
          <w:p w:rsidR="00D26D9E" w:rsidRDefault="00D26D9E" w:rsidP="00D26D9E">
            <w:pPr>
              <w:pStyle w:val="NoSpacing"/>
              <w:jc w:val="center"/>
            </w:pPr>
            <w:r>
              <w:t>1319</w:t>
            </w:r>
          </w:p>
        </w:tc>
        <w:tc>
          <w:tcPr>
            <w:tcW w:w="592" w:type="pct"/>
            <w:shd w:val="clear" w:color="auto" w:fill="auto"/>
            <w:noWrap/>
            <w:vAlign w:val="bottom"/>
          </w:tcPr>
          <w:p w:rsidR="00D26D9E" w:rsidRDefault="00D26D9E" w:rsidP="00D26D9E">
            <w:pPr>
              <w:pStyle w:val="NoSpacing"/>
              <w:jc w:val="center"/>
            </w:pPr>
            <w:r>
              <w:t>1290</w:t>
            </w:r>
          </w:p>
        </w:tc>
        <w:tc>
          <w:tcPr>
            <w:tcW w:w="724" w:type="pct"/>
            <w:shd w:val="clear" w:color="auto" w:fill="auto"/>
            <w:noWrap/>
            <w:vAlign w:val="bottom"/>
          </w:tcPr>
          <w:p w:rsidR="00D26D9E" w:rsidRDefault="00D26D9E" w:rsidP="00D26D9E">
            <w:pPr>
              <w:pStyle w:val="NoSpacing"/>
              <w:jc w:val="center"/>
            </w:pPr>
            <w:r>
              <w:t>1290</w:t>
            </w:r>
          </w:p>
        </w:tc>
        <w:tc>
          <w:tcPr>
            <w:tcW w:w="330" w:type="pct"/>
            <w:shd w:val="clear" w:color="auto" w:fill="auto"/>
            <w:noWrap/>
            <w:vAlign w:val="bottom"/>
          </w:tcPr>
          <w:p w:rsidR="00D26D9E" w:rsidRDefault="00D26D9E" w:rsidP="00D26D9E">
            <w:pPr>
              <w:pStyle w:val="NoSpacing"/>
              <w:jc w:val="center"/>
            </w:pPr>
            <w:r>
              <w:t>1228</w:t>
            </w:r>
          </w:p>
        </w:tc>
        <w:tc>
          <w:tcPr>
            <w:tcW w:w="485" w:type="pct"/>
            <w:shd w:val="clear" w:color="auto" w:fill="auto"/>
            <w:noWrap/>
            <w:vAlign w:val="bottom"/>
          </w:tcPr>
          <w:p w:rsidR="00D26D9E" w:rsidRDefault="00D26D9E" w:rsidP="00D26D9E">
            <w:pPr>
              <w:pStyle w:val="NoSpacing"/>
              <w:jc w:val="center"/>
            </w:pPr>
            <w:r>
              <w:t>1295</w:t>
            </w:r>
          </w:p>
        </w:tc>
        <w:tc>
          <w:tcPr>
            <w:tcW w:w="465" w:type="pct"/>
            <w:shd w:val="clear" w:color="auto" w:fill="auto"/>
            <w:noWrap/>
            <w:vAlign w:val="bottom"/>
          </w:tcPr>
          <w:p w:rsidR="00D26D9E" w:rsidRDefault="00D26D9E" w:rsidP="00D26D9E">
            <w:pPr>
              <w:pStyle w:val="NoSpacing"/>
              <w:jc w:val="center"/>
            </w:pPr>
            <w:r>
              <w:t>928</w:t>
            </w:r>
          </w:p>
        </w:tc>
        <w:tc>
          <w:tcPr>
            <w:tcW w:w="476" w:type="pct"/>
            <w:shd w:val="clear" w:color="auto" w:fill="auto"/>
            <w:noWrap/>
            <w:vAlign w:val="bottom"/>
          </w:tcPr>
          <w:p w:rsidR="00D26D9E" w:rsidRDefault="00D26D9E" w:rsidP="00D26D9E">
            <w:pPr>
              <w:pStyle w:val="NoSpacing"/>
              <w:jc w:val="center"/>
            </w:pPr>
            <w:r>
              <w:t>1201</w:t>
            </w:r>
          </w:p>
        </w:tc>
      </w:tr>
      <w:tr w:rsidR="00D26D9E" w:rsidRPr="002464DF" w:rsidTr="00D26D9E">
        <w:trPr>
          <w:trHeight w:val="300"/>
        </w:trPr>
        <w:tc>
          <w:tcPr>
            <w:tcW w:w="720" w:type="pct"/>
            <w:vMerge w:val="restart"/>
            <w:vAlign w:val="center"/>
          </w:tcPr>
          <w:p w:rsidR="00D26D9E" w:rsidRPr="002464DF" w:rsidRDefault="00D26D9E" w:rsidP="00544CED">
            <w:pPr>
              <w:pStyle w:val="NoSpacing"/>
            </w:pPr>
            <w:r>
              <w:t>With lime</w:t>
            </w:r>
          </w:p>
        </w:tc>
        <w:tc>
          <w:tcPr>
            <w:tcW w:w="476" w:type="pct"/>
            <w:shd w:val="clear" w:color="auto" w:fill="auto"/>
            <w:noWrap/>
            <w:vAlign w:val="bottom"/>
            <w:hideMark/>
          </w:tcPr>
          <w:p w:rsidR="00D26D9E" w:rsidRPr="002464DF" w:rsidRDefault="00D26D9E" w:rsidP="00544CED">
            <w:pPr>
              <w:pStyle w:val="NoSpacing"/>
            </w:pPr>
            <w:r w:rsidRPr="002464DF">
              <w:t xml:space="preserve">- </w:t>
            </w:r>
            <w:proofErr w:type="spellStart"/>
            <w:r w:rsidRPr="002464DF">
              <w:t>inoc</w:t>
            </w:r>
            <w:proofErr w:type="spellEnd"/>
          </w:p>
        </w:tc>
        <w:tc>
          <w:tcPr>
            <w:tcW w:w="389" w:type="pct"/>
            <w:shd w:val="clear" w:color="auto" w:fill="auto"/>
            <w:noWrap/>
            <w:vAlign w:val="bottom"/>
          </w:tcPr>
          <w:p w:rsidR="00D26D9E" w:rsidRDefault="00D26D9E" w:rsidP="00D26D9E">
            <w:pPr>
              <w:pStyle w:val="NoSpacing"/>
              <w:jc w:val="center"/>
            </w:pPr>
            <w:r>
              <w:t>1030</w:t>
            </w:r>
          </w:p>
        </w:tc>
        <w:tc>
          <w:tcPr>
            <w:tcW w:w="343" w:type="pct"/>
            <w:shd w:val="clear" w:color="auto" w:fill="auto"/>
            <w:noWrap/>
            <w:vAlign w:val="bottom"/>
          </w:tcPr>
          <w:p w:rsidR="00D26D9E" w:rsidRDefault="00D26D9E" w:rsidP="00D26D9E">
            <w:pPr>
              <w:pStyle w:val="NoSpacing"/>
              <w:jc w:val="center"/>
            </w:pPr>
            <w:r>
              <w:t>939</w:t>
            </w:r>
          </w:p>
        </w:tc>
        <w:tc>
          <w:tcPr>
            <w:tcW w:w="592" w:type="pct"/>
            <w:shd w:val="clear" w:color="auto" w:fill="auto"/>
            <w:noWrap/>
            <w:vAlign w:val="bottom"/>
          </w:tcPr>
          <w:p w:rsidR="00D26D9E" w:rsidRDefault="00D26D9E" w:rsidP="00D26D9E">
            <w:pPr>
              <w:pStyle w:val="NoSpacing"/>
              <w:jc w:val="center"/>
            </w:pPr>
            <w:r>
              <w:t>1176</w:t>
            </w:r>
          </w:p>
        </w:tc>
        <w:tc>
          <w:tcPr>
            <w:tcW w:w="724" w:type="pct"/>
            <w:shd w:val="clear" w:color="auto" w:fill="auto"/>
            <w:noWrap/>
            <w:vAlign w:val="bottom"/>
          </w:tcPr>
          <w:p w:rsidR="00D26D9E" w:rsidRDefault="00D26D9E" w:rsidP="00D26D9E">
            <w:pPr>
              <w:pStyle w:val="NoSpacing"/>
              <w:jc w:val="center"/>
            </w:pPr>
            <w:r>
              <w:t>1130</w:t>
            </w:r>
          </w:p>
        </w:tc>
        <w:tc>
          <w:tcPr>
            <w:tcW w:w="330" w:type="pct"/>
            <w:shd w:val="clear" w:color="auto" w:fill="auto"/>
            <w:noWrap/>
            <w:vAlign w:val="bottom"/>
          </w:tcPr>
          <w:p w:rsidR="00D26D9E" w:rsidRDefault="00D26D9E" w:rsidP="00D26D9E">
            <w:pPr>
              <w:pStyle w:val="NoSpacing"/>
              <w:jc w:val="center"/>
            </w:pPr>
            <w:r>
              <w:t>1283</w:t>
            </w:r>
          </w:p>
        </w:tc>
        <w:tc>
          <w:tcPr>
            <w:tcW w:w="485" w:type="pct"/>
            <w:shd w:val="clear" w:color="auto" w:fill="auto"/>
            <w:noWrap/>
            <w:vAlign w:val="bottom"/>
          </w:tcPr>
          <w:p w:rsidR="00D26D9E" w:rsidRDefault="00D26D9E" w:rsidP="00D26D9E">
            <w:pPr>
              <w:pStyle w:val="NoSpacing"/>
              <w:jc w:val="center"/>
            </w:pPr>
            <w:r>
              <w:t>1062</w:t>
            </w:r>
          </w:p>
        </w:tc>
        <w:tc>
          <w:tcPr>
            <w:tcW w:w="465" w:type="pct"/>
            <w:shd w:val="clear" w:color="auto" w:fill="auto"/>
            <w:noWrap/>
            <w:vAlign w:val="bottom"/>
          </w:tcPr>
          <w:p w:rsidR="00D26D9E" w:rsidRDefault="00D26D9E" w:rsidP="00D26D9E">
            <w:pPr>
              <w:pStyle w:val="NoSpacing"/>
              <w:jc w:val="center"/>
            </w:pPr>
            <w:r>
              <w:t>1195</w:t>
            </w:r>
          </w:p>
        </w:tc>
        <w:tc>
          <w:tcPr>
            <w:tcW w:w="476" w:type="pct"/>
            <w:shd w:val="clear" w:color="auto" w:fill="auto"/>
            <w:noWrap/>
            <w:vAlign w:val="bottom"/>
          </w:tcPr>
          <w:p w:rsidR="00D26D9E" w:rsidRDefault="00D26D9E" w:rsidP="00D26D9E">
            <w:pPr>
              <w:pStyle w:val="NoSpacing"/>
              <w:jc w:val="center"/>
            </w:pPr>
            <w:r>
              <w:t>1117</w:t>
            </w:r>
          </w:p>
        </w:tc>
      </w:tr>
      <w:tr w:rsidR="00D26D9E" w:rsidRPr="002464DF" w:rsidTr="00D26D9E">
        <w:trPr>
          <w:trHeight w:val="300"/>
        </w:trPr>
        <w:tc>
          <w:tcPr>
            <w:tcW w:w="720" w:type="pct"/>
            <w:vMerge/>
            <w:tcBorders>
              <w:bottom w:val="single" w:sz="4" w:space="0" w:color="auto"/>
            </w:tcBorders>
            <w:vAlign w:val="bottom"/>
          </w:tcPr>
          <w:p w:rsidR="00D26D9E" w:rsidRPr="002464DF" w:rsidRDefault="00D26D9E" w:rsidP="00544CED">
            <w:pPr>
              <w:pStyle w:val="NoSpacing"/>
            </w:pPr>
          </w:p>
        </w:tc>
        <w:tc>
          <w:tcPr>
            <w:tcW w:w="476" w:type="pct"/>
            <w:tcBorders>
              <w:bottom w:val="single" w:sz="4" w:space="0" w:color="auto"/>
            </w:tcBorders>
            <w:shd w:val="clear" w:color="auto" w:fill="auto"/>
            <w:noWrap/>
            <w:vAlign w:val="bottom"/>
            <w:hideMark/>
          </w:tcPr>
          <w:p w:rsidR="00D26D9E" w:rsidRPr="002464DF" w:rsidRDefault="00D26D9E" w:rsidP="00544CED">
            <w:pPr>
              <w:pStyle w:val="NoSpacing"/>
            </w:pPr>
            <w:r w:rsidRPr="002464DF">
              <w:t xml:space="preserve">+ </w:t>
            </w:r>
            <w:proofErr w:type="spellStart"/>
            <w:r w:rsidRPr="002464DF">
              <w:t>inoc</w:t>
            </w:r>
            <w:proofErr w:type="spellEnd"/>
          </w:p>
        </w:tc>
        <w:tc>
          <w:tcPr>
            <w:tcW w:w="389" w:type="pct"/>
            <w:tcBorders>
              <w:bottom w:val="single" w:sz="4" w:space="0" w:color="auto"/>
            </w:tcBorders>
            <w:shd w:val="clear" w:color="auto" w:fill="auto"/>
            <w:noWrap/>
            <w:vAlign w:val="bottom"/>
          </w:tcPr>
          <w:p w:rsidR="00D26D9E" w:rsidRDefault="00D26D9E" w:rsidP="00D26D9E">
            <w:pPr>
              <w:pStyle w:val="NoSpacing"/>
              <w:jc w:val="center"/>
            </w:pPr>
            <w:r>
              <w:t>1024</w:t>
            </w:r>
          </w:p>
        </w:tc>
        <w:tc>
          <w:tcPr>
            <w:tcW w:w="343" w:type="pct"/>
            <w:tcBorders>
              <w:bottom w:val="single" w:sz="4" w:space="0" w:color="auto"/>
            </w:tcBorders>
            <w:shd w:val="clear" w:color="auto" w:fill="auto"/>
            <w:noWrap/>
            <w:vAlign w:val="bottom"/>
          </w:tcPr>
          <w:p w:rsidR="00D26D9E" w:rsidRDefault="00D26D9E" w:rsidP="00D26D9E">
            <w:pPr>
              <w:pStyle w:val="NoSpacing"/>
              <w:jc w:val="center"/>
            </w:pPr>
            <w:r>
              <w:t>1080</w:t>
            </w:r>
          </w:p>
        </w:tc>
        <w:tc>
          <w:tcPr>
            <w:tcW w:w="592" w:type="pct"/>
            <w:tcBorders>
              <w:bottom w:val="single" w:sz="4" w:space="0" w:color="auto"/>
            </w:tcBorders>
            <w:shd w:val="clear" w:color="auto" w:fill="auto"/>
            <w:noWrap/>
            <w:vAlign w:val="bottom"/>
          </w:tcPr>
          <w:p w:rsidR="00D26D9E" w:rsidRDefault="00D26D9E" w:rsidP="00D26D9E">
            <w:pPr>
              <w:pStyle w:val="NoSpacing"/>
              <w:jc w:val="center"/>
            </w:pPr>
            <w:r>
              <w:t>1329</w:t>
            </w:r>
          </w:p>
        </w:tc>
        <w:tc>
          <w:tcPr>
            <w:tcW w:w="724" w:type="pct"/>
            <w:tcBorders>
              <w:bottom w:val="single" w:sz="4" w:space="0" w:color="auto"/>
            </w:tcBorders>
            <w:shd w:val="clear" w:color="auto" w:fill="auto"/>
            <w:noWrap/>
            <w:vAlign w:val="bottom"/>
          </w:tcPr>
          <w:p w:rsidR="00D26D9E" w:rsidRDefault="00D26D9E" w:rsidP="00D26D9E">
            <w:pPr>
              <w:pStyle w:val="NoSpacing"/>
              <w:jc w:val="center"/>
            </w:pPr>
            <w:r>
              <w:t>1411</w:t>
            </w:r>
          </w:p>
        </w:tc>
        <w:tc>
          <w:tcPr>
            <w:tcW w:w="330" w:type="pct"/>
            <w:tcBorders>
              <w:bottom w:val="single" w:sz="4" w:space="0" w:color="auto"/>
            </w:tcBorders>
            <w:shd w:val="clear" w:color="auto" w:fill="auto"/>
            <w:noWrap/>
            <w:vAlign w:val="bottom"/>
          </w:tcPr>
          <w:p w:rsidR="00D26D9E" w:rsidRDefault="00D26D9E" w:rsidP="00D26D9E">
            <w:pPr>
              <w:pStyle w:val="NoSpacing"/>
              <w:jc w:val="center"/>
            </w:pPr>
            <w:r>
              <w:t>1491</w:t>
            </w:r>
          </w:p>
        </w:tc>
        <w:tc>
          <w:tcPr>
            <w:tcW w:w="485" w:type="pct"/>
            <w:tcBorders>
              <w:bottom w:val="single" w:sz="4" w:space="0" w:color="auto"/>
            </w:tcBorders>
            <w:shd w:val="clear" w:color="auto" w:fill="auto"/>
            <w:noWrap/>
            <w:vAlign w:val="bottom"/>
          </w:tcPr>
          <w:p w:rsidR="00D26D9E" w:rsidRDefault="00D26D9E" w:rsidP="00D26D9E">
            <w:pPr>
              <w:pStyle w:val="NoSpacing"/>
              <w:jc w:val="center"/>
            </w:pPr>
            <w:r>
              <w:t>1316</w:t>
            </w:r>
          </w:p>
        </w:tc>
        <w:tc>
          <w:tcPr>
            <w:tcW w:w="465" w:type="pct"/>
            <w:tcBorders>
              <w:bottom w:val="single" w:sz="4" w:space="0" w:color="auto"/>
            </w:tcBorders>
            <w:shd w:val="clear" w:color="auto" w:fill="auto"/>
            <w:noWrap/>
            <w:vAlign w:val="bottom"/>
          </w:tcPr>
          <w:p w:rsidR="00D26D9E" w:rsidRDefault="00D26D9E" w:rsidP="00D26D9E">
            <w:pPr>
              <w:pStyle w:val="NoSpacing"/>
              <w:jc w:val="center"/>
            </w:pPr>
            <w:r>
              <w:t>1451</w:t>
            </w:r>
          </w:p>
        </w:tc>
        <w:tc>
          <w:tcPr>
            <w:tcW w:w="476" w:type="pct"/>
            <w:tcBorders>
              <w:bottom w:val="single" w:sz="4" w:space="0" w:color="auto"/>
            </w:tcBorders>
            <w:shd w:val="clear" w:color="auto" w:fill="auto"/>
            <w:noWrap/>
            <w:vAlign w:val="bottom"/>
          </w:tcPr>
          <w:p w:rsidR="00D26D9E" w:rsidRDefault="00D26D9E" w:rsidP="00D26D9E">
            <w:pPr>
              <w:pStyle w:val="NoSpacing"/>
              <w:jc w:val="center"/>
            </w:pPr>
            <w:r>
              <w:t>1300</w:t>
            </w:r>
          </w:p>
        </w:tc>
      </w:tr>
      <w:tr w:rsidR="00D26D9E" w:rsidRPr="002464DF" w:rsidTr="00D26D9E">
        <w:trPr>
          <w:trHeight w:val="300"/>
        </w:trPr>
        <w:tc>
          <w:tcPr>
            <w:tcW w:w="720" w:type="pct"/>
            <w:tcBorders>
              <w:top w:val="single" w:sz="4" w:space="0" w:color="auto"/>
              <w:bottom w:val="single" w:sz="4" w:space="0" w:color="auto"/>
            </w:tcBorders>
            <w:vAlign w:val="bottom"/>
          </w:tcPr>
          <w:p w:rsidR="00D26D9E" w:rsidRPr="002464DF" w:rsidRDefault="00D26D9E" w:rsidP="00544CED">
            <w:pPr>
              <w:pStyle w:val="NoSpacing"/>
            </w:pPr>
          </w:p>
        </w:tc>
        <w:tc>
          <w:tcPr>
            <w:tcW w:w="476" w:type="pct"/>
            <w:tcBorders>
              <w:top w:val="single" w:sz="4" w:space="0" w:color="auto"/>
              <w:bottom w:val="single" w:sz="4" w:space="0" w:color="auto"/>
            </w:tcBorders>
            <w:shd w:val="clear" w:color="auto" w:fill="auto"/>
            <w:noWrap/>
            <w:vAlign w:val="bottom"/>
            <w:hideMark/>
          </w:tcPr>
          <w:p w:rsidR="00D26D9E" w:rsidRPr="002464DF" w:rsidRDefault="00D26D9E" w:rsidP="00544CED">
            <w:pPr>
              <w:pStyle w:val="NoSpacing"/>
            </w:pPr>
            <w:r>
              <w:t>A</w:t>
            </w:r>
            <w:r w:rsidRPr="002464DF">
              <w:t>verage</w:t>
            </w:r>
          </w:p>
        </w:tc>
        <w:tc>
          <w:tcPr>
            <w:tcW w:w="389" w:type="pct"/>
            <w:tcBorders>
              <w:top w:val="single" w:sz="4" w:space="0" w:color="auto"/>
              <w:bottom w:val="single" w:sz="4" w:space="0" w:color="auto"/>
            </w:tcBorders>
            <w:shd w:val="clear" w:color="auto" w:fill="auto"/>
            <w:noWrap/>
            <w:vAlign w:val="bottom"/>
          </w:tcPr>
          <w:p w:rsidR="00D26D9E" w:rsidRDefault="00D26D9E" w:rsidP="00D26D9E">
            <w:pPr>
              <w:pStyle w:val="NoSpacing"/>
              <w:jc w:val="center"/>
            </w:pPr>
            <w:r>
              <w:t>1045</w:t>
            </w:r>
          </w:p>
        </w:tc>
        <w:tc>
          <w:tcPr>
            <w:tcW w:w="343" w:type="pct"/>
            <w:tcBorders>
              <w:top w:val="single" w:sz="4" w:space="0" w:color="auto"/>
              <w:bottom w:val="single" w:sz="4" w:space="0" w:color="auto"/>
            </w:tcBorders>
            <w:shd w:val="clear" w:color="auto" w:fill="auto"/>
            <w:noWrap/>
            <w:vAlign w:val="bottom"/>
          </w:tcPr>
          <w:p w:rsidR="00D26D9E" w:rsidRDefault="00D26D9E" w:rsidP="00D26D9E">
            <w:pPr>
              <w:pStyle w:val="NoSpacing"/>
              <w:jc w:val="center"/>
            </w:pPr>
            <w:r>
              <w:t>1099</w:t>
            </w:r>
          </w:p>
        </w:tc>
        <w:tc>
          <w:tcPr>
            <w:tcW w:w="592" w:type="pct"/>
            <w:tcBorders>
              <w:top w:val="single" w:sz="4" w:space="0" w:color="auto"/>
              <w:bottom w:val="single" w:sz="4" w:space="0" w:color="auto"/>
            </w:tcBorders>
            <w:shd w:val="clear" w:color="auto" w:fill="auto"/>
            <w:noWrap/>
            <w:vAlign w:val="bottom"/>
          </w:tcPr>
          <w:p w:rsidR="00D26D9E" w:rsidRDefault="00D26D9E" w:rsidP="00D26D9E">
            <w:pPr>
              <w:pStyle w:val="NoSpacing"/>
              <w:jc w:val="center"/>
            </w:pPr>
            <w:r>
              <w:t>1263</w:t>
            </w:r>
          </w:p>
        </w:tc>
        <w:tc>
          <w:tcPr>
            <w:tcW w:w="724" w:type="pct"/>
            <w:tcBorders>
              <w:top w:val="single" w:sz="4" w:space="0" w:color="auto"/>
              <w:bottom w:val="single" w:sz="4" w:space="0" w:color="auto"/>
            </w:tcBorders>
            <w:shd w:val="clear" w:color="auto" w:fill="auto"/>
            <w:noWrap/>
            <w:vAlign w:val="bottom"/>
          </w:tcPr>
          <w:p w:rsidR="00D26D9E" w:rsidRDefault="00D26D9E" w:rsidP="00D26D9E">
            <w:pPr>
              <w:pStyle w:val="NoSpacing"/>
              <w:jc w:val="center"/>
            </w:pPr>
            <w:r>
              <w:t>1267</w:t>
            </w:r>
          </w:p>
        </w:tc>
        <w:tc>
          <w:tcPr>
            <w:tcW w:w="330" w:type="pct"/>
            <w:tcBorders>
              <w:top w:val="single" w:sz="4" w:space="0" w:color="auto"/>
              <w:bottom w:val="single" w:sz="4" w:space="0" w:color="auto"/>
            </w:tcBorders>
            <w:shd w:val="clear" w:color="auto" w:fill="auto"/>
            <w:noWrap/>
            <w:vAlign w:val="bottom"/>
          </w:tcPr>
          <w:p w:rsidR="00D26D9E" w:rsidRDefault="00D26D9E" w:rsidP="00D26D9E">
            <w:pPr>
              <w:pStyle w:val="NoSpacing"/>
              <w:jc w:val="center"/>
            </w:pPr>
            <w:r>
              <w:t>1289</w:t>
            </w:r>
          </w:p>
        </w:tc>
        <w:tc>
          <w:tcPr>
            <w:tcW w:w="485" w:type="pct"/>
            <w:tcBorders>
              <w:top w:val="single" w:sz="4" w:space="0" w:color="auto"/>
              <w:bottom w:val="single" w:sz="4" w:space="0" w:color="auto"/>
            </w:tcBorders>
            <w:shd w:val="clear" w:color="auto" w:fill="auto"/>
            <w:noWrap/>
            <w:vAlign w:val="bottom"/>
          </w:tcPr>
          <w:p w:rsidR="00D26D9E" w:rsidRDefault="00D26D9E" w:rsidP="00D26D9E">
            <w:pPr>
              <w:pStyle w:val="NoSpacing"/>
              <w:jc w:val="center"/>
            </w:pPr>
            <w:r>
              <w:t>1241</w:t>
            </w:r>
          </w:p>
        </w:tc>
        <w:tc>
          <w:tcPr>
            <w:tcW w:w="465" w:type="pct"/>
            <w:tcBorders>
              <w:top w:val="single" w:sz="4" w:space="0" w:color="auto"/>
              <w:bottom w:val="single" w:sz="4" w:space="0" w:color="auto"/>
            </w:tcBorders>
            <w:shd w:val="clear" w:color="auto" w:fill="auto"/>
            <w:noWrap/>
            <w:vAlign w:val="bottom"/>
          </w:tcPr>
          <w:p w:rsidR="00D26D9E" w:rsidRDefault="00D26D9E" w:rsidP="00D26D9E">
            <w:pPr>
              <w:pStyle w:val="NoSpacing"/>
              <w:jc w:val="center"/>
            </w:pPr>
            <w:r>
              <w:t>1188</w:t>
            </w:r>
          </w:p>
        </w:tc>
        <w:tc>
          <w:tcPr>
            <w:tcW w:w="476" w:type="pct"/>
            <w:tcBorders>
              <w:top w:val="single" w:sz="4" w:space="0" w:color="auto"/>
              <w:bottom w:val="single" w:sz="4" w:space="0" w:color="auto"/>
            </w:tcBorders>
            <w:shd w:val="clear" w:color="auto" w:fill="auto"/>
            <w:noWrap/>
            <w:vAlign w:val="bottom"/>
          </w:tcPr>
          <w:p w:rsidR="00D26D9E" w:rsidRDefault="00D26D9E" w:rsidP="00D26D9E">
            <w:pPr>
              <w:pStyle w:val="NoSpacing"/>
              <w:jc w:val="center"/>
            </w:pPr>
            <w:r>
              <w:t>1199</w:t>
            </w:r>
          </w:p>
        </w:tc>
      </w:tr>
    </w:tbl>
    <w:p w:rsidR="00544CED" w:rsidRDefault="00544CED" w:rsidP="00544CED">
      <w:pPr>
        <w:pStyle w:val="NoSpacing"/>
      </w:pPr>
    </w:p>
    <w:p w:rsidR="004839EB" w:rsidRDefault="004839EB" w:rsidP="00544CED">
      <w:pPr>
        <w:pStyle w:val="NoSpacing"/>
      </w:pPr>
      <w:r>
        <w:rPr>
          <w:noProof/>
          <w:lang w:val="en-US"/>
        </w:rPr>
        <w:drawing>
          <wp:inline distT="0" distB="0" distL="0" distR="0" wp14:anchorId="13B0C6CC" wp14:editId="04FBC26C">
            <wp:extent cx="4572000" cy="2743200"/>
            <wp:effectExtent l="0" t="0" r="19050" b="1905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4839EB" w:rsidRDefault="004839EB" w:rsidP="00544CED">
      <w:pPr>
        <w:pStyle w:val="NoSpacing"/>
      </w:pPr>
    </w:p>
    <w:p w:rsidR="004839EB" w:rsidRDefault="004839EB" w:rsidP="00544CED">
      <w:pPr>
        <w:pStyle w:val="NoSpacing"/>
      </w:pPr>
      <w:r>
        <w:rPr>
          <w:noProof/>
          <w:lang w:val="en-US"/>
        </w:rPr>
        <w:drawing>
          <wp:inline distT="0" distB="0" distL="0" distR="0" wp14:anchorId="77C9B6AE" wp14:editId="495E4D33">
            <wp:extent cx="4572000" cy="2743200"/>
            <wp:effectExtent l="0" t="0" r="19050" b="1905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544CED" w:rsidRPr="00EF7A6B" w:rsidRDefault="00544CED" w:rsidP="00EF7A6B">
      <w:pPr>
        <w:pStyle w:val="NoSpacing"/>
      </w:pPr>
    </w:p>
    <w:p w:rsidR="00EF7A6B" w:rsidRPr="00EF7A6B" w:rsidRDefault="00EF7A6B" w:rsidP="00EF7A6B">
      <w:pPr>
        <w:pStyle w:val="NoSpacing"/>
      </w:pPr>
    </w:p>
    <w:p w:rsidR="00EF7A6B" w:rsidRPr="00EF7A6B" w:rsidRDefault="00EF7A6B" w:rsidP="00EF7A6B">
      <w:pPr>
        <w:pStyle w:val="NoSpacing"/>
      </w:pPr>
    </w:p>
    <w:p w:rsidR="00EF7A6B" w:rsidRDefault="00EF7A6B">
      <w:pPr>
        <w:rPr>
          <w:rFonts w:ascii="Verdana" w:hAnsi="Verdana"/>
          <w:sz w:val="17"/>
          <w:lang w:val="en-GB"/>
        </w:rPr>
      </w:pPr>
      <w:r>
        <w:br w:type="page"/>
      </w:r>
    </w:p>
    <w:p w:rsidR="00EF7A6B" w:rsidRPr="00EF7A6B" w:rsidRDefault="00EF7A6B" w:rsidP="00544CED">
      <w:pPr>
        <w:pStyle w:val="NoSpacing"/>
        <w:rPr>
          <w:b/>
          <w:i/>
        </w:rPr>
      </w:pPr>
      <w:r w:rsidRPr="00EF7A6B">
        <w:rPr>
          <w:b/>
          <w:i/>
        </w:rPr>
        <w:lastRenderedPageBreak/>
        <w:t>Soybean input trial</w:t>
      </w:r>
    </w:p>
    <w:p w:rsidR="00EF7A6B" w:rsidRDefault="00EF7A6B" w:rsidP="00544CED">
      <w:pPr>
        <w:pStyle w:val="NoSpacing"/>
      </w:pPr>
    </w:p>
    <w:p w:rsidR="00EF7A6B" w:rsidRDefault="00EF7A6B" w:rsidP="00544CED">
      <w:pPr>
        <w:pStyle w:val="NoSpacing"/>
      </w:pPr>
      <w:r>
        <w:t xml:space="preserve">Location: </w:t>
      </w:r>
      <w:proofErr w:type="spellStart"/>
      <w:r>
        <w:t>Migori</w:t>
      </w:r>
      <w:proofErr w:type="spellEnd"/>
    </w:p>
    <w:p w:rsidR="00EF7A6B" w:rsidRPr="00EF7A6B" w:rsidRDefault="00EF7A6B" w:rsidP="00EF7A6B">
      <w:pPr>
        <w:pStyle w:val="NoSpacing"/>
      </w:pPr>
      <w:r>
        <w:t>GPS: E</w:t>
      </w:r>
      <w:r w:rsidRPr="00EF7A6B">
        <w:t xml:space="preserve"> 34.57100; S 1.012861</w:t>
      </w:r>
      <w:r>
        <w:t>; Elevation: 1464 m</w:t>
      </w:r>
    </w:p>
    <w:p w:rsidR="00EF7A6B" w:rsidRDefault="00EF7A6B" w:rsidP="00544CED">
      <w:pPr>
        <w:pStyle w:val="NoSpacing"/>
      </w:pPr>
      <w:r>
        <w:t>Planting date: 29-9-2011</w:t>
      </w:r>
    </w:p>
    <w:p w:rsidR="00EF7A6B" w:rsidRDefault="00EF7A6B" w:rsidP="00544CED">
      <w:pPr>
        <w:pStyle w:val="NoSpacing"/>
      </w:pPr>
      <w:r>
        <w:t>Harvest date: 25-1-2012</w:t>
      </w:r>
    </w:p>
    <w:p w:rsidR="00EF7A6B" w:rsidRDefault="00EF7A6B" w:rsidP="00544CED">
      <w:pPr>
        <w:pStyle w:val="NoSpacing"/>
      </w:pPr>
      <w:r>
        <w:t>Variety: SB19</w:t>
      </w:r>
    </w:p>
    <w:p w:rsidR="00EF7A6B" w:rsidRDefault="00EF7A6B" w:rsidP="00544CED">
      <w:pPr>
        <w:pStyle w:val="NoSpacing"/>
      </w:pPr>
    </w:p>
    <w:p w:rsidR="00EF7A6B" w:rsidRDefault="00EF7A6B" w:rsidP="00544CED">
      <w:pPr>
        <w:pStyle w:val="NoSpacing"/>
      </w:pPr>
      <w:r>
        <w:t>Remarks:</w:t>
      </w:r>
    </w:p>
    <w:p w:rsidR="00EF7A6B" w:rsidRDefault="00452055" w:rsidP="00544CED">
      <w:pPr>
        <w:pStyle w:val="NoSpacing"/>
      </w:pPr>
      <w:r>
        <w:t xml:space="preserve">No information on germination. </w:t>
      </w:r>
    </w:p>
    <w:p w:rsidR="00040F19" w:rsidRDefault="00452055" w:rsidP="00040F19">
      <w:pPr>
        <w:pStyle w:val="NoSpacing"/>
      </w:pPr>
      <w:r>
        <w:t xml:space="preserve">Inoculation enhanced the number of nodules tremendously, and especially in combination with lime the </w:t>
      </w:r>
      <w:r w:rsidR="003159B3">
        <w:t xml:space="preserve">average </w:t>
      </w:r>
      <w:r>
        <w:t xml:space="preserve">nodule score increased from </w:t>
      </w:r>
      <w:r w:rsidR="003159B3">
        <w:t xml:space="preserve">0.3 to 4.1. This difference was much more distinctive than the differences between fertilizer </w:t>
      </w:r>
      <w:r w:rsidR="00AE13A9">
        <w:t>inputs</w:t>
      </w:r>
      <w:r w:rsidR="003159B3">
        <w:t xml:space="preserve">. </w:t>
      </w:r>
      <w:r w:rsidR="00040F19">
        <w:t xml:space="preserve">Grain yields </w:t>
      </w:r>
      <w:r w:rsidR="00AE13A9">
        <w:t xml:space="preserve">did improve with </w:t>
      </w:r>
      <w:r w:rsidR="00040F19">
        <w:t xml:space="preserve">application of fertilizer, however, but again inoculation had a much more pronounced effect. The combination with lime did not further enhance yields. The highest average grain </w:t>
      </w:r>
      <w:r w:rsidR="00AE13A9">
        <w:t>yields</w:t>
      </w:r>
      <w:r w:rsidR="00040F19">
        <w:t xml:space="preserve"> were obtained by the treatments with MRP-Dust and TSP.</w:t>
      </w:r>
    </w:p>
    <w:p w:rsidR="00B76866" w:rsidRDefault="00B76866" w:rsidP="00B76866">
      <w:pPr>
        <w:pStyle w:val="NoSpacing"/>
      </w:pPr>
      <w:r>
        <w:t xml:space="preserve">Application of fertilizer also increased </w:t>
      </w:r>
      <w:proofErr w:type="spellStart"/>
      <w:r>
        <w:t>stover</w:t>
      </w:r>
      <w:proofErr w:type="spellEnd"/>
      <w:r>
        <w:t xml:space="preserve"> yields compared to the control. The effect of inoculation was less pronounced. In combination with lime, </w:t>
      </w:r>
      <w:proofErr w:type="spellStart"/>
      <w:r>
        <w:t>stover</w:t>
      </w:r>
      <w:proofErr w:type="spellEnd"/>
      <w:r>
        <w:t xml:space="preserve"> yields were even lower than without lime and inoculation. As grain yields did increase, the harvest index became more favourable as a result of lime and inoculation. </w:t>
      </w:r>
    </w:p>
    <w:p w:rsidR="00D26D9E" w:rsidRDefault="00D26D9E" w:rsidP="00544CED">
      <w:pPr>
        <w:pStyle w:val="NoSpacing"/>
      </w:pPr>
    </w:p>
    <w:p w:rsidR="002E4633" w:rsidRDefault="002E4633">
      <w:pPr>
        <w:rPr>
          <w:rFonts w:ascii="Verdana" w:hAnsi="Verdana"/>
          <w:i/>
          <w:sz w:val="17"/>
          <w:lang w:val="en-GB"/>
        </w:rPr>
      </w:pPr>
      <w:r>
        <w:rPr>
          <w:i/>
        </w:rPr>
        <w:br w:type="page"/>
      </w:r>
    </w:p>
    <w:p w:rsidR="00D26D9E" w:rsidRPr="00D26D9E" w:rsidRDefault="00D26D9E" w:rsidP="00D26D9E">
      <w:pPr>
        <w:pStyle w:val="NoSpacing"/>
        <w:rPr>
          <w:i/>
        </w:rPr>
      </w:pPr>
      <w:r w:rsidRPr="00D26D9E">
        <w:rPr>
          <w:i/>
        </w:rPr>
        <w:lastRenderedPageBreak/>
        <w:t xml:space="preserve">Average </w:t>
      </w:r>
      <w:r w:rsidR="00452055">
        <w:rPr>
          <w:i/>
        </w:rPr>
        <w:t>nodule score</w:t>
      </w:r>
    </w:p>
    <w:tbl>
      <w:tblPr>
        <w:tblW w:w="5000" w:type="pct"/>
        <w:tblBorders>
          <w:top w:val="single" w:sz="4" w:space="0" w:color="auto"/>
          <w:bottom w:val="single" w:sz="4" w:space="0" w:color="auto"/>
        </w:tblBorders>
        <w:tblLook w:val="04A0" w:firstRow="1" w:lastRow="0" w:firstColumn="1" w:lastColumn="0" w:noHBand="0" w:noVBand="1"/>
      </w:tblPr>
      <w:tblGrid>
        <w:gridCol w:w="1385"/>
        <w:gridCol w:w="916"/>
        <w:gridCol w:w="749"/>
        <w:gridCol w:w="660"/>
        <w:gridCol w:w="1139"/>
        <w:gridCol w:w="1394"/>
        <w:gridCol w:w="635"/>
        <w:gridCol w:w="933"/>
        <w:gridCol w:w="895"/>
        <w:gridCol w:w="916"/>
      </w:tblGrid>
      <w:tr w:rsidR="00D26D9E" w:rsidRPr="002464DF" w:rsidTr="00EF7A6B">
        <w:trPr>
          <w:trHeight w:val="300"/>
        </w:trPr>
        <w:tc>
          <w:tcPr>
            <w:tcW w:w="720" w:type="pct"/>
            <w:tcBorders>
              <w:top w:val="single" w:sz="4" w:space="0" w:color="auto"/>
              <w:bottom w:val="single" w:sz="4" w:space="0" w:color="auto"/>
            </w:tcBorders>
            <w:vAlign w:val="bottom"/>
          </w:tcPr>
          <w:p w:rsidR="00D26D9E" w:rsidRPr="002464DF" w:rsidRDefault="00D26D9E" w:rsidP="00EF7A6B">
            <w:pPr>
              <w:pStyle w:val="NoSpacing"/>
            </w:pPr>
          </w:p>
        </w:tc>
        <w:tc>
          <w:tcPr>
            <w:tcW w:w="476" w:type="pct"/>
            <w:tcBorders>
              <w:top w:val="single" w:sz="4" w:space="0" w:color="auto"/>
              <w:bottom w:val="single" w:sz="4" w:space="0" w:color="auto"/>
            </w:tcBorders>
            <w:shd w:val="clear" w:color="auto" w:fill="auto"/>
            <w:noWrap/>
            <w:vAlign w:val="bottom"/>
            <w:hideMark/>
          </w:tcPr>
          <w:p w:rsidR="00D26D9E" w:rsidRPr="002464DF" w:rsidRDefault="00D26D9E" w:rsidP="00EF7A6B">
            <w:pPr>
              <w:pStyle w:val="NoSpacing"/>
            </w:pPr>
          </w:p>
        </w:tc>
        <w:tc>
          <w:tcPr>
            <w:tcW w:w="389" w:type="pct"/>
            <w:tcBorders>
              <w:top w:val="single" w:sz="4" w:space="0" w:color="auto"/>
              <w:bottom w:val="single" w:sz="4" w:space="0" w:color="auto"/>
            </w:tcBorders>
            <w:shd w:val="clear" w:color="auto" w:fill="auto"/>
            <w:noWrap/>
            <w:vAlign w:val="bottom"/>
            <w:hideMark/>
          </w:tcPr>
          <w:p w:rsidR="00D26D9E" w:rsidRPr="00EF7A6B" w:rsidRDefault="00D26D9E" w:rsidP="00EF7A6B">
            <w:pPr>
              <w:pStyle w:val="NoSpacing"/>
              <w:jc w:val="center"/>
            </w:pPr>
            <w:r w:rsidRPr="00EF7A6B">
              <w:t>None</w:t>
            </w:r>
          </w:p>
        </w:tc>
        <w:tc>
          <w:tcPr>
            <w:tcW w:w="343" w:type="pct"/>
            <w:tcBorders>
              <w:top w:val="single" w:sz="4" w:space="0" w:color="auto"/>
              <w:bottom w:val="single" w:sz="4" w:space="0" w:color="auto"/>
            </w:tcBorders>
            <w:shd w:val="clear" w:color="auto" w:fill="auto"/>
            <w:noWrap/>
            <w:vAlign w:val="bottom"/>
            <w:hideMark/>
          </w:tcPr>
          <w:p w:rsidR="00D26D9E" w:rsidRPr="00EF7A6B" w:rsidRDefault="00D26D9E" w:rsidP="00EF7A6B">
            <w:pPr>
              <w:pStyle w:val="NoSpacing"/>
              <w:jc w:val="center"/>
            </w:pPr>
            <w:r w:rsidRPr="00EF7A6B">
              <w:t>DAP</w:t>
            </w:r>
          </w:p>
        </w:tc>
        <w:tc>
          <w:tcPr>
            <w:tcW w:w="592" w:type="pct"/>
            <w:tcBorders>
              <w:top w:val="single" w:sz="4" w:space="0" w:color="auto"/>
              <w:bottom w:val="single" w:sz="4" w:space="0" w:color="auto"/>
            </w:tcBorders>
            <w:shd w:val="clear" w:color="auto" w:fill="auto"/>
            <w:noWrap/>
            <w:vAlign w:val="bottom"/>
            <w:hideMark/>
          </w:tcPr>
          <w:p w:rsidR="00D26D9E" w:rsidRPr="00EF7A6B" w:rsidRDefault="00D26D9E" w:rsidP="00EF7A6B">
            <w:pPr>
              <w:pStyle w:val="NoSpacing"/>
              <w:jc w:val="center"/>
            </w:pPr>
            <w:r w:rsidRPr="00EF7A6B">
              <w:t>MRP-DUST</w:t>
            </w:r>
          </w:p>
        </w:tc>
        <w:tc>
          <w:tcPr>
            <w:tcW w:w="724" w:type="pct"/>
            <w:tcBorders>
              <w:top w:val="single" w:sz="4" w:space="0" w:color="auto"/>
              <w:bottom w:val="single" w:sz="4" w:space="0" w:color="auto"/>
            </w:tcBorders>
            <w:shd w:val="clear" w:color="auto" w:fill="auto"/>
            <w:noWrap/>
            <w:vAlign w:val="bottom"/>
            <w:hideMark/>
          </w:tcPr>
          <w:p w:rsidR="00D26D9E" w:rsidRPr="00EF7A6B" w:rsidRDefault="00D26D9E" w:rsidP="00EF7A6B">
            <w:pPr>
              <w:pStyle w:val="NoSpacing"/>
              <w:jc w:val="center"/>
            </w:pPr>
            <w:r w:rsidRPr="00EF7A6B">
              <w:t>MRP-PALLETS</w:t>
            </w:r>
          </w:p>
        </w:tc>
        <w:tc>
          <w:tcPr>
            <w:tcW w:w="330" w:type="pct"/>
            <w:tcBorders>
              <w:top w:val="single" w:sz="4" w:space="0" w:color="auto"/>
              <w:bottom w:val="single" w:sz="4" w:space="0" w:color="auto"/>
            </w:tcBorders>
            <w:shd w:val="clear" w:color="auto" w:fill="auto"/>
            <w:noWrap/>
            <w:vAlign w:val="bottom"/>
            <w:hideMark/>
          </w:tcPr>
          <w:p w:rsidR="00D26D9E" w:rsidRPr="00EF7A6B" w:rsidRDefault="00D26D9E" w:rsidP="00EF7A6B">
            <w:pPr>
              <w:pStyle w:val="NoSpacing"/>
              <w:jc w:val="center"/>
            </w:pPr>
            <w:r w:rsidRPr="00EF7A6B">
              <w:t>TSP</w:t>
            </w:r>
          </w:p>
        </w:tc>
        <w:tc>
          <w:tcPr>
            <w:tcW w:w="485" w:type="pct"/>
            <w:tcBorders>
              <w:top w:val="single" w:sz="4" w:space="0" w:color="auto"/>
              <w:bottom w:val="single" w:sz="4" w:space="0" w:color="auto"/>
            </w:tcBorders>
            <w:shd w:val="clear" w:color="auto" w:fill="auto"/>
            <w:noWrap/>
            <w:vAlign w:val="bottom"/>
            <w:hideMark/>
          </w:tcPr>
          <w:p w:rsidR="00D26D9E" w:rsidRPr="00EF7A6B" w:rsidRDefault="00D26D9E" w:rsidP="00EF7A6B">
            <w:pPr>
              <w:pStyle w:val="NoSpacing"/>
              <w:jc w:val="center"/>
            </w:pPr>
            <w:r w:rsidRPr="00EF7A6B">
              <w:t>TSP/</w:t>
            </w:r>
            <w:proofErr w:type="spellStart"/>
            <w:r w:rsidRPr="00EF7A6B">
              <w:t>KCl</w:t>
            </w:r>
            <w:proofErr w:type="spellEnd"/>
          </w:p>
        </w:tc>
        <w:tc>
          <w:tcPr>
            <w:tcW w:w="465" w:type="pct"/>
            <w:tcBorders>
              <w:top w:val="single" w:sz="4" w:space="0" w:color="auto"/>
              <w:bottom w:val="single" w:sz="4" w:space="0" w:color="auto"/>
            </w:tcBorders>
            <w:shd w:val="clear" w:color="auto" w:fill="auto"/>
            <w:noWrap/>
            <w:vAlign w:val="bottom"/>
            <w:hideMark/>
          </w:tcPr>
          <w:p w:rsidR="00D26D9E" w:rsidRPr="00EF7A6B" w:rsidRDefault="00D26D9E" w:rsidP="00EF7A6B">
            <w:pPr>
              <w:pStyle w:val="NoSpacing"/>
              <w:jc w:val="center"/>
            </w:pPr>
            <w:r w:rsidRPr="00EF7A6B">
              <w:t>SYMPAL</w:t>
            </w:r>
          </w:p>
        </w:tc>
        <w:tc>
          <w:tcPr>
            <w:tcW w:w="476" w:type="pct"/>
            <w:tcBorders>
              <w:top w:val="single" w:sz="4" w:space="0" w:color="auto"/>
              <w:bottom w:val="single" w:sz="4" w:space="0" w:color="auto"/>
            </w:tcBorders>
            <w:shd w:val="clear" w:color="auto" w:fill="auto"/>
            <w:noWrap/>
            <w:vAlign w:val="bottom"/>
            <w:hideMark/>
          </w:tcPr>
          <w:p w:rsidR="00D26D9E" w:rsidRPr="00EF7A6B" w:rsidRDefault="00D26D9E" w:rsidP="00EF7A6B">
            <w:pPr>
              <w:pStyle w:val="NoSpacing"/>
              <w:jc w:val="center"/>
            </w:pPr>
            <w:r w:rsidRPr="00EF7A6B">
              <w:t>Average</w:t>
            </w:r>
          </w:p>
        </w:tc>
      </w:tr>
      <w:tr w:rsidR="00EF7A6B" w:rsidRPr="002464DF" w:rsidTr="00EF7A6B">
        <w:trPr>
          <w:trHeight w:val="300"/>
        </w:trPr>
        <w:tc>
          <w:tcPr>
            <w:tcW w:w="720" w:type="pct"/>
            <w:vMerge w:val="restart"/>
            <w:tcBorders>
              <w:top w:val="single" w:sz="4" w:space="0" w:color="auto"/>
            </w:tcBorders>
            <w:vAlign w:val="center"/>
          </w:tcPr>
          <w:p w:rsidR="00EF7A6B" w:rsidRPr="002464DF" w:rsidRDefault="00EF7A6B" w:rsidP="00EF7A6B">
            <w:pPr>
              <w:pStyle w:val="NoSpacing"/>
            </w:pPr>
            <w:r>
              <w:t>Without lime</w:t>
            </w:r>
          </w:p>
        </w:tc>
        <w:tc>
          <w:tcPr>
            <w:tcW w:w="476" w:type="pct"/>
            <w:tcBorders>
              <w:top w:val="single" w:sz="4" w:space="0" w:color="auto"/>
            </w:tcBorders>
            <w:shd w:val="clear" w:color="auto" w:fill="auto"/>
            <w:noWrap/>
            <w:vAlign w:val="bottom"/>
            <w:hideMark/>
          </w:tcPr>
          <w:p w:rsidR="00EF7A6B" w:rsidRPr="002464DF" w:rsidRDefault="00EF7A6B" w:rsidP="00EF7A6B">
            <w:pPr>
              <w:pStyle w:val="NoSpacing"/>
            </w:pPr>
            <w:r w:rsidRPr="002464DF">
              <w:t xml:space="preserve">- </w:t>
            </w:r>
            <w:proofErr w:type="spellStart"/>
            <w:r w:rsidRPr="002464DF">
              <w:t>inoc</w:t>
            </w:r>
            <w:proofErr w:type="spellEnd"/>
          </w:p>
        </w:tc>
        <w:tc>
          <w:tcPr>
            <w:tcW w:w="389" w:type="pct"/>
            <w:tcBorders>
              <w:top w:val="single" w:sz="4" w:space="0" w:color="auto"/>
            </w:tcBorders>
            <w:shd w:val="clear" w:color="auto" w:fill="auto"/>
            <w:noWrap/>
            <w:vAlign w:val="bottom"/>
          </w:tcPr>
          <w:p w:rsidR="00EF7A6B" w:rsidRPr="00EF7A6B" w:rsidRDefault="00EF7A6B" w:rsidP="00EF7A6B">
            <w:pPr>
              <w:pStyle w:val="NoSpacing"/>
              <w:jc w:val="center"/>
            </w:pPr>
            <w:r w:rsidRPr="00EF7A6B">
              <w:t>0.3</w:t>
            </w:r>
          </w:p>
        </w:tc>
        <w:tc>
          <w:tcPr>
            <w:tcW w:w="343" w:type="pct"/>
            <w:tcBorders>
              <w:top w:val="single" w:sz="4" w:space="0" w:color="auto"/>
            </w:tcBorders>
            <w:shd w:val="clear" w:color="auto" w:fill="auto"/>
            <w:noWrap/>
            <w:vAlign w:val="bottom"/>
          </w:tcPr>
          <w:p w:rsidR="00EF7A6B" w:rsidRPr="00EF7A6B" w:rsidRDefault="00EF7A6B" w:rsidP="00EF7A6B">
            <w:pPr>
              <w:pStyle w:val="NoSpacing"/>
              <w:jc w:val="center"/>
            </w:pPr>
            <w:r w:rsidRPr="00EF7A6B">
              <w:t>0.2</w:t>
            </w:r>
          </w:p>
        </w:tc>
        <w:tc>
          <w:tcPr>
            <w:tcW w:w="592" w:type="pct"/>
            <w:tcBorders>
              <w:top w:val="single" w:sz="4" w:space="0" w:color="auto"/>
            </w:tcBorders>
            <w:shd w:val="clear" w:color="auto" w:fill="auto"/>
            <w:noWrap/>
            <w:vAlign w:val="bottom"/>
          </w:tcPr>
          <w:p w:rsidR="00EF7A6B" w:rsidRPr="00EF7A6B" w:rsidRDefault="00EF7A6B" w:rsidP="00EF7A6B">
            <w:pPr>
              <w:pStyle w:val="NoSpacing"/>
              <w:jc w:val="center"/>
            </w:pPr>
            <w:r w:rsidRPr="00EF7A6B">
              <w:t>0.4</w:t>
            </w:r>
          </w:p>
        </w:tc>
        <w:tc>
          <w:tcPr>
            <w:tcW w:w="724" w:type="pct"/>
            <w:tcBorders>
              <w:top w:val="single" w:sz="4" w:space="0" w:color="auto"/>
            </w:tcBorders>
            <w:shd w:val="clear" w:color="auto" w:fill="auto"/>
            <w:noWrap/>
            <w:vAlign w:val="bottom"/>
          </w:tcPr>
          <w:p w:rsidR="00EF7A6B" w:rsidRPr="00EF7A6B" w:rsidRDefault="00EF7A6B" w:rsidP="00EF7A6B">
            <w:pPr>
              <w:pStyle w:val="NoSpacing"/>
              <w:jc w:val="center"/>
            </w:pPr>
            <w:r w:rsidRPr="00EF7A6B">
              <w:t>0.2</w:t>
            </w:r>
          </w:p>
        </w:tc>
        <w:tc>
          <w:tcPr>
            <w:tcW w:w="330" w:type="pct"/>
            <w:tcBorders>
              <w:top w:val="single" w:sz="4" w:space="0" w:color="auto"/>
            </w:tcBorders>
            <w:shd w:val="clear" w:color="auto" w:fill="auto"/>
            <w:noWrap/>
            <w:vAlign w:val="bottom"/>
          </w:tcPr>
          <w:p w:rsidR="00EF7A6B" w:rsidRPr="00EF7A6B" w:rsidRDefault="00EF7A6B" w:rsidP="00EF7A6B">
            <w:pPr>
              <w:pStyle w:val="NoSpacing"/>
              <w:jc w:val="center"/>
            </w:pPr>
            <w:r w:rsidRPr="00EF7A6B">
              <w:t>0.4</w:t>
            </w:r>
          </w:p>
        </w:tc>
        <w:tc>
          <w:tcPr>
            <w:tcW w:w="485" w:type="pct"/>
            <w:tcBorders>
              <w:top w:val="single" w:sz="4" w:space="0" w:color="auto"/>
            </w:tcBorders>
            <w:shd w:val="clear" w:color="auto" w:fill="auto"/>
            <w:noWrap/>
            <w:vAlign w:val="bottom"/>
          </w:tcPr>
          <w:p w:rsidR="00EF7A6B" w:rsidRPr="00EF7A6B" w:rsidRDefault="00EF7A6B" w:rsidP="00EF7A6B">
            <w:pPr>
              <w:pStyle w:val="NoSpacing"/>
              <w:jc w:val="center"/>
            </w:pPr>
            <w:r w:rsidRPr="00EF7A6B">
              <w:t>0.2</w:t>
            </w:r>
          </w:p>
        </w:tc>
        <w:tc>
          <w:tcPr>
            <w:tcW w:w="465" w:type="pct"/>
            <w:tcBorders>
              <w:top w:val="single" w:sz="4" w:space="0" w:color="auto"/>
            </w:tcBorders>
            <w:shd w:val="clear" w:color="auto" w:fill="auto"/>
            <w:noWrap/>
            <w:vAlign w:val="bottom"/>
          </w:tcPr>
          <w:p w:rsidR="00EF7A6B" w:rsidRPr="00EF7A6B" w:rsidRDefault="00EF7A6B" w:rsidP="00EF7A6B">
            <w:pPr>
              <w:pStyle w:val="NoSpacing"/>
              <w:jc w:val="center"/>
            </w:pPr>
            <w:r w:rsidRPr="00EF7A6B">
              <w:t>0.5</w:t>
            </w:r>
          </w:p>
        </w:tc>
        <w:tc>
          <w:tcPr>
            <w:tcW w:w="476" w:type="pct"/>
            <w:tcBorders>
              <w:top w:val="single" w:sz="4" w:space="0" w:color="auto"/>
            </w:tcBorders>
            <w:shd w:val="clear" w:color="auto" w:fill="auto"/>
            <w:noWrap/>
            <w:vAlign w:val="bottom"/>
          </w:tcPr>
          <w:p w:rsidR="00EF7A6B" w:rsidRPr="00EF7A6B" w:rsidRDefault="00EF7A6B" w:rsidP="00EF7A6B">
            <w:pPr>
              <w:pStyle w:val="NoSpacing"/>
              <w:jc w:val="center"/>
            </w:pPr>
            <w:r w:rsidRPr="00EF7A6B">
              <w:t>0.3</w:t>
            </w:r>
          </w:p>
        </w:tc>
      </w:tr>
      <w:tr w:rsidR="00EF7A6B" w:rsidRPr="002464DF" w:rsidTr="00EF7A6B">
        <w:trPr>
          <w:trHeight w:val="300"/>
        </w:trPr>
        <w:tc>
          <w:tcPr>
            <w:tcW w:w="720" w:type="pct"/>
            <w:vMerge/>
            <w:vAlign w:val="center"/>
          </w:tcPr>
          <w:p w:rsidR="00EF7A6B" w:rsidRPr="002464DF" w:rsidRDefault="00EF7A6B" w:rsidP="00EF7A6B">
            <w:pPr>
              <w:pStyle w:val="NoSpacing"/>
            </w:pPr>
          </w:p>
        </w:tc>
        <w:tc>
          <w:tcPr>
            <w:tcW w:w="476" w:type="pct"/>
            <w:shd w:val="clear" w:color="auto" w:fill="auto"/>
            <w:noWrap/>
            <w:vAlign w:val="bottom"/>
            <w:hideMark/>
          </w:tcPr>
          <w:p w:rsidR="00EF7A6B" w:rsidRPr="002464DF" w:rsidRDefault="00EF7A6B" w:rsidP="00EF7A6B">
            <w:pPr>
              <w:pStyle w:val="NoSpacing"/>
            </w:pPr>
            <w:r w:rsidRPr="002464DF">
              <w:t xml:space="preserve">+ </w:t>
            </w:r>
            <w:proofErr w:type="spellStart"/>
            <w:r w:rsidRPr="002464DF">
              <w:t>inoc</w:t>
            </w:r>
            <w:proofErr w:type="spellEnd"/>
          </w:p>
        </w:tc>
        <w:tc>
          <w:tcPr>
            <w:tcW w:w="389" w:type="pct"/>
            <w:shd w:val="clear" w:color="auto" w:fill="auto"/>
            <w:noWrap/>
            <w:vAlign w:val="bottom"/>
          </w:tcPr>
          <w:p w:rsidR="00EF7A6B" w:rsidRPr="00EF7A6B" w:rsidRDefault="00EF7A6B" w:rsidP="00EF7A6B">
            <w:pPr>
              <w:pStyle w:val="NoSpacing"/>
              <w:jc w:val="center"/>
            </w:pPr>
            <w:r w:rsidRPr="00EF7A6B">
              <w:t>3.4</w:t>
            </w:r>
          </w:p>
        </w:tc>
        <w:tc>
          <w:tcPr>
            <w:tcW w:w="343" w:type="pct"/>
            <w:shd w:val="clear" w:color="auto" w:fill="auto"/>
            <w:noWrap/>
            <w:vAlign w:val="bottom"/>
          </w:tcPr>
          <w:p w:rsidR="00EF7A6B" w:rsidRPr="00EF7A6B" w:rsidRDefault="00EF7A6B" w:rsidP="00EF7A6B">
            <w:pPr>
              <w:pStyle w:val="NoSpacing"/>
              <w:jc w:val="center"/>
            </w:pPr>
            <w:r w:rsidRPr="00EF7A6B">
              <w:t>3.4</w:t>
            </w:r>
          </w:p>
        </w:tc>
        <w:tc>
          <w:tcPr>
            <w:tcW w:w="592" w:type="pct"/>
            <w:shd w:val="clear" w:color="auto" w:fill="auto"/>
            <w:noWrap/>
            <w:vAlign w:val="bottom"/>
          </w:tcPr>
          <w:p w:rsidR="00EF7A6B" w:rsidRPr="00EF7A6B" w:rsidRDefault="00EF7A6B" w:rsidP="00EF7A6B">
            <w:pPr>
              <w:pStyle w:val="NoSpacing"/>
              <w:jc w:val="center"/>
            </w:pPr>
            <w:r w:rsidRPr="00EF7A6B">
              <w:t>4.0</w:t>
            </w:r>
          </w:p>
        </w:tc>
        <w:tc>
          <w:tcPr>
            <w:tcW w:w="724" w:type="pct"/>
            <w:shd w:val="clear" w:color="auto" w:fill="auto"/>
            <w:noWrap/>
            <w:vAlign w:val="bottom"/>
          </w:tcPr>
          <w:p w:rsidR="00EF7A6B" w:rsidRPr="00EF7A6B" w:rsidRDefault="00EF7A6B" w:rsidP="00EF7A6B">
            <w:pPr>
              <w:pStyle w:val="NoSpacing"/>
              <w:jc w:val="center"/>
            </w:pPr>
            <w:r w:rsidRPr="00EF7A6B">
              <w:t>3.4</w:t>
            </w:r>
          </w:p>
        </w:tc>
        <w:tc>
          <w:tcPr>
            <w:tcW w:w="330" w:type="pct"/>
            <w:shd w:val="clear" w:color="auto" w:fill="auto"/>
            <w:noWrap/>
            <w:vAlign w:val="bottom"/>
          </w:tcPr>
          <w:p w:rsidR="00EF7A6B" w:rsidRPr="00EF7A6B" w:rsidRDefault="00EF7A6B" w:rsidP="00EF7A6B">
            <w:pPr>
              <w:pStyle w:val="NoSpacing"/>
              <w:jc w:val="center"/>
            </w:pPr>
            <w:r w:rsidRPr="00EF7A6B">
              <w:t>3.3</w:t>
            </w:r>
          </w:p>
        </w:tc>
        <w:tc>
          <w:tcPr>
            <w:tcW w:w="485" w:type="pct"/>
            <w:shd w:val="clear" w:color="auto" w:fill="auto"/>
            <w:noWrap/>
            <w:vAlign w:val="bottom"/>
          </w:tcPr>
          <w:p w:rsidR="00EF7A6B" w:rsidRPr="00EF7A6B" w:rsidRDefault="00EF7A6B" w:rsidP="00EF7A6B">
            <w:pPr>
              <w:pStyle w:val="NoSpacing"/>
              <w:jc w:val="center"/>
            </w:pPr>
            <w:r w:rsidRPr="00EF7A6B">
              <w:t>2.5</w:t>
            </w:r>
          </w:p>
        </w:tc>
        <w:tc>
          <w:tcPr>
            <w:tcW w:w="465" w:type="pct"/>
            <w:shd w:val="clear" w:color="auto" w:fill="auto"/>
            <w:noWrap/>
            <w:vAlign w:val="bottom"/>
          </w:tcPr>
          <w:p w:rsidR="00EF7A6B" w:rsidRPr="00EF7A6B" w:rsidRDefault="00EF7A6B" w:rsidP="00EF7A6B">
            <w:pPr>
              <w:pStyle w:val="NoSpacing"/>
              <w:jc w:val="center"/>
            </w:pPr>
            <w:r w:rsidRPr="00EF7A6B">
              <w:t>3.5</w:t>
            </w:r>
          </w:p>
        </w:tc>
        <w:tc>
          <w:tcPr>
            <w:tcW w:w="476" w:type="pct"/>
            <w:shd w:val="clear" w:color="auto" w:fill="auto"/>
            <w:noWrap/>
            <w:vAlign w:val="bottom"/>
          </w:tcPr>
          <w:p w:rsidR="00EF7A6B" w:rsidRPr="00EF7A6B" w:rsidRDefault="00EF7A6B" w:rsidP="00EF7A6B">
            <w:pPr>
              <w:pStyle w:val="NoSpacing"/>
              <w:jc w:val="center"/>
            </w:pPr>
            <w:r w:rsidRPr="00EF7A6B">
              <w:t>3.3</w:t>
            </w:r>
          </w:p>
        </w:tc>
      </w:tr>
      <w:tr w:rsidR="00EF7A6B" w:rsidRPr="002464DF" w:rsidTr="00EF7A6B">
        <w:trPr>
          <w:trHeight w:val="300"/>
        </w:trPr>
        <w:tc>
          <w:tcPr>
            <w:tcW w:w="720" w:type="pct"/>
            <w:vMerge w:val="restart"/>
            <w:vAlign w:val="center"/>
          </w:tcPr>
          <w:p w:rsidR="00EF7A6B" w:rsidRPr="002464DF" w:rsidRDefault="00EF7A6B" w:rsidP="00EF7A6B">
            <w:pPr>
              <w:pStyle w:val="NoSpacing"/>
            </w:pPr>
            <w:r>
              <w:t>With lime</w:t>
            </w:r>
          </w:p>
        </w:tc>
        <w:tc>
          <w:tcPr>
            <w:tcW w:w="476" w:type="pct"/>
            <w:shd w:val="clear" w:color="auto" w:fill="auto"/>
            <w:noWrap/>
            <w:vAlign w:val="bottom"/>
            <w:hideMark/>
          </w:tcPr>
          <w:p w:rsidR="00EF7A6B" w:rsidRPr="002464DF" w:rsidRDefault="00EF7A6B" w:rsidP="00EF7A6B">
            <w:pPr>
              <w:pStyle w:val="NoSpacing"/>
            </w:pPr>
            <w:r w:rsidRPr="002464DF">
              <w:t xml:space="preserve">- </w:t>
            </w:r>
            <w:proofErr w:type="spellStart"/>
            <w:r w:rsidRPr="002464DF">
              <w:t>inoc</w:t>
            </w:r>
            <w:proofErr w:type="spellEnd"/>
          </w:p>
        </w:tc>
        <w:tc>
          <w:tcPr>
            <w:tcW w:w="389" w:type="pct"/>
            <w:shd w:val="clear" w:color="auto" w:fill="auto"/>
            <w:noWrap/>
            <w:vAlign w:val="bottom"/>
          </w:tcPr>
          <w:p w:rsidR="00EF7A6B" w:rsidRPr="00EF7A6B" w:rsidRDefault="00EF7A6B" w:rsidP="00EF7A6B">
            <w:pPr>
              <w:pStyle w:val="NoSpacing"/>
              <w:jc w:val="center"/>
            </w:pPr>
            <w:r w:rsidRPr="00EF7A6B">
              <w:t>0.2</w:t>
            </w:r>
          </w:p>
        </w:tc>
        <w:tc>
          <w:tcPr>
            <w:tcW w:w="343" w:type="pct"/>
            <w:shd w:val="clear" w:color="auto" w:fill="auto"/>
            <w:noWrap/>
            <w:vAlign w:val="bottom"/>
          </w:tcPr>
          <w:p w:rsidR="00EF7A6B" w:rsidRPr="00EF7A6B" w:rsidRDefault="00EF7A6B" w:rsidP="00EF7A6B">
            <w:pPr>
              <w:pStyle w:val="NoSpacing"/>
              <w:jc w:val="center"/>
            </w:pPr>
            <w:r w:rsidRPr="00EF7A6B">
              <w:t>0.2</w:t>
            </w:r>
          </w:p>
        </w:tc>
        <w:tc>
          <w:tcPr>
            <w:tcW w:w="592" w:type="pct"/>
            <w:shd w:val="clear" w:color="auto" w:fill="auto"/>
            <w:noWrap/>
            <w:vAlign w:val="bottom"/>
          </w:tcPr>
          <w:p w:rsidR="00EF7A6B" w:rsidRPr="00EF7A6B" w:rsidRDefault="00EF7A6B" w:rsidP="00EF7A6B">
            <w:pPr>
              <w:pStyle w:val="NoSpacing"/>
              <w:jc w:val="center"/>
            </w:pPr>
            <w:r w:rsidRPr="00EF7A6B">
              <w:t>0.4</w:t>
            </w:r>
          </w:p>
        </w:tc>
        <w:tc>
          <w:tcPr>
            <w:tcW w:w="724" w:type="pct"/>
            <w:shd w:val="clear" w:color="auto" w:fill="auto"/>
            <w:noWrap/>
            <w:vAlign w:val="bottom"/>
          </w:tcPr>
          <w:p w:rsidR="00EF7A6B" w:rsidRPr="00EF7A6B" w:rsidRDefault="00EF7A6B" w:rsidP="00EF7A6B">
            <w:pPr>
              <w:pStyle w:val="NoSpacing"/>
              <w:jc w:val="center"/>
            </w:pPr>
            <w:r w:rsidRPr="00EF7A6B">
              <w:t>0.4</w:t>
            </w:r>
          </w:p>
        </w:tc>
        <w:tc>
          <w:tcPr>
            <w:tcW w:w="330" w:type="pct"/>
            <w:shd w:val="clear" w:color="auto" w:fill="auto"/>
            <w:noWrap/>
            <w:vAlign w:val="bottom"/>
          </w:tcPr>
          <w:p w:rsidR="00EF7A6B" w:rsidRPr="00EF7A6B" w:rsidRDefault="00EF7A6B" w:rsidP="00EF7A6B">
            <w:pPr>
              <w:pStyle w:val="NoSpacing"/>
              <w:jc w:val="center"/>
            </w:pPr>
            <w:r w:rsidRPr="00EF7A6B">
              <w:t>0.5</w:t>
            </w:r>
          </w:p>
        </w:tc>
        <w:tc>
          <w:tcPr>
            <w:tcW w:w="485" w:type="pct"/>
            <w:shd w:val="clear" w:color="auto" w:fill="auto"/>
            <w:noWrap/>
            <w:vAlign w:val="bottom"/>
          </w:tcPr>
          <w:p w:rsidR="00EF7A6B" w:rsidRPr="00EF7A6B" w:rsidRDefault="00EF7A6B" w:rsidP="00EF7A6B">
            <w:pPr>
              <w:pStyle w:val="NoSpacing"/>
              <w:jc w:val="center"/>
            </w:pPr>
            <w:r w:rsidRPr="00EF7A6B">
              <w:t>0.3</w:t>
            </w:r>
          </w:p>
        </w:tc>
        <w:tc>
          <w:tcPr>
            <w:tcW w:w="465" w:type="pct"/>
            <w:shd w:val="clear" w:color="auto" w:fill="auto"/>
            <w:noWrap/>
            <w:vAlign w:val="bottom"/>
          </w:tcPr>
          <w:p w:rsidR="00EF7A6B" w:rsidRPr="00EF7A6B" w:rsidRDefault="00EF7A6B" w:rsidP="00EF7A6B">
            <w:pPr>
              <w:pStyle w:val="NoSpacing"/>
              <w:jc w:val="center"/>
            </w:pPr>
            <w:r w:rsidRPr="00EF7A6B">
              <w:t>0.4</w:t>
            </w:r>
          </w:p>
        </w:tc>
        <w:tc>
          <w:tcPr>
            <w:tcW w:w="476" w:type="pct"/>
            <w:shd w:val="clear" w:color="auto" w:fill="auto"/>
            <w:noWrap/>
            <w:vAlign w:val="bottom"/>
          </w:tcPr>
          <w:p w:rsidR="00EF7A6B" w:rsidRPr="00EF7A6B" w:rsidRDefault="00EF7A6B" w:rsidP="00EF7A6B">
            <w:pPr>
              <w:pStyle w:val="NoSpacing"/>
              <w:jc w:val="center"/>
            </w:pPr>
            <w:r w:rsidRPr="00EF7A6B">
              <w:t>0.3</w:t>
            </w:r>
          </w:p>
        </w:tc>
      </w:tr>
      <w:tr w:rsidR="00EF7A6B" w:rsidRPr="002464DF" w:rsidTr="00EF7A6B">
        <w:trPr>
          <w:trHeight w:val="300"/>
        </w:trPr>
        <w:tc>
          <w:tcPr>
            <w:tcW w:w="720" w:type="pct"/>
            <w:vMerge/>
            <w:tcBorders>
              <w:bottom w:val="single" w:sz="4" w:space="0" w:color="auto"/>
            </w:tcBorders>
            <w:vAlign w:val="bottom"/>
          </w:tcPr>
          <w:p w:rsidR="00EF7A6B" w:rsidRPr="002464DF" w:rsidRDefault="00EF7A6B" w:rsidP="00EF7A6B">
            <w:pPr>
              <w:pStyle w:val="NoSpacing"/>
            </w:pPr>
          </w:p>
        </w:tc>
        <w:tc>
          <w:tcPr>
            <w:tcW w:w="476" w:type="pct"/>
            <w:tcBorders>
              <w:bottom w:val="single" w:sz="4" w:space="0" w:color="auto"/>
            </w:tcBorders>
            <w:shd w:val="clear" w:color="auto" w:fill="auto"/>
            <w:noWrap/>
            <w:vAlign w:val="bottom"/>
            <w:hideMark/>
          </w:tcPr>
          <w:p w:rsidR="00EF7A6B" w:rsidRPr="002464DF" w:rsidRDefault="00EF7A6B" w:rsidP="00EF7A6B">
            <w:pPr>
              <w:pStyle w:val="NoSpacing"/>
            </w:pPr>
            <w:r w:rsidRPr="002464DF">
              <w:t xml:space="preserve">+ </w:t>
            </w:r>
            <w:proofErr w:type="spellStart"/>
            <w:r w:rsidRPr="002464DF">
              <w:t>inoc</w:t>
            </w:r>
            <w:proofErr w:type="spellEnd"/>
          </w:p>
        </w:tc>
        <w:tc>
          <w:tcPr>
            <w:tcW w:w="389" w:type="pct"/>
            <w:tcBorders>
              <w:bottom w:val="single" w:sz="4" w:space="0" w:color="auto"/>
            </w:tcBorders>
            <w:shd w:val="clear" w:color="auto" w:fill="auto"/>
            <w:noWrap/>
            <w:vAlign w:val="bottom"/>
          </w:tcPr>
          <w:p w:rsidR="00EF7A6B" w:rsidRPr="00EF7A6B" w:rsidRDefault="00EF7A6B" w:rsidP="00EF7A6B">
            <w:pPr>
              <w:pStyle w:val="NoSpacing"/>
              <w:jc w:val="center"/>
            </w:pPr>
            <w:r w:rsidRPr="00EF7A6B">
              <w:t>3.8</w:t>
            </w:r>
          </w:p>
        </w:tc>
        <w:tc>
          <w:tcPr>
            <w:tcW w:w="343" w:type="pct"/>
            <w:tcBorders>
              <w:bottom w:val="single" w:sz="4" w:space="0" w:color="auto"/>
            </w:tcBorders>
            <w:shd w:val="clear" w:color="auto" w:fill="auto"/>
            <w:noWrap/>
            <w:vAlign w:val="bottom"/>
          </w:tcPr>
          <w:p w:rsidR="00EF7A6B" w:rsidRPr="00EF7A6B" w:rsidRDefault="00EF7A6B" w:rsidP="00EF7A6B">
            <w:pPr>
              <w:pStyle w:val="NoSpacing"/>
              <w:jc w:val="center"/>
            </w:pPr>
            <w:r w:rsidRPr="00EF7A6B">
              <w:t>3.9</w:t>
            </w:r>
          </w:p>
        </w:tc>
        <w:tc>
          <w:tcPr>
            <w:tcW w:w="592" w:type="pct"/>
            <w:tcBorders>
              <w:bottom w:val="single" w:sz="4" w:space="0" w:color="auto"/>
            </w:tcBorders>
            <w:shd w:val="clear" w:color="auto" w:fill="auto"/>
            <w:noWrap/>
            <w:vAlign w:val="bottom"/>
          </w:tcPr>
          <w:p w:rsidR="00EF7A6B" w:rsidRPr="00EF7A6B" w:rsidRDefault="00EF7A6B" w:rsidP="00EF7A6B">
            <w:pPr>
              <w:pStyle w:val="NoSpacing"/>
              <w:jc w:val="center"/>
            </w:pPr>
            <w:r w:rsidRPr="00EF7A6B">
              <w:t>4.4</w:t>
            </w:r>
          </w:p>
        </w:tc>
        <w:tc>
          <w:tcPr>
            <w:tcW w:w="724" w:type="pct"/>
            <w:tcBorders>
              <w:bottom w:val="single" w:sz="4" w:space="0" w:color="auto"/>
            </w:tcBorders>
            <w:shd w:val="clear" w:color="auto" w:fill="auto"/>
            <w:noWrap/>
            <w:vAlign w:val="bottom"/>
          </w:tcPr>
          <w:p w:rsidR="00EF7A6B" w:rsidRPr="00EF7A6B" w:rsidRDefault="00EF7A6B" w:rsidP="00EF7A6B">
            <w:pPr>
              <w:pStyle w:val="NoSpacing"/>
              <w:jc w:val="center"/>
            </w:pPr>
            <w:r w:rsidRPr="00EF7A6B">
              <w:t>3.9</w:t>
            </w:r>
          </w:p>
        </w:tc>
        <w:tc>
          <w:tcPr>
            <w:tcW w:w="330" w:type="pct"/>
            <w:tcBorders>
              <w:bottom w:val="single" w:sz="4" w:space="0" w:color="auto"/>
            </w:tcBorders>
            <w:shd w:val="clear" w:color="auto" w:fill="auto"/>
            <w:noWrap/>
            <w:vAlign w:val="bottom"/>
          </w:tcPr>
          <w:p w:rsidR="00EF7A6B" w:rsidRPr="00EF7A6B" w:rsidRDefault="00EF7A6B" w:rsidP="00EF7A6B">
            <w:pPr>
              <w:pStyle w:val="NoSpacing"/>
              <w:jc w:val="center"/>
            </w:pPr>
            <w:r w:rsidRPr="00EF7A6B">
              <w:t>4.4</w:t>
            </w:r>
          </w:p>
        </w:tc>
        <w:tc>
          <w:tcPr>
            <w:tcW w:w="485" w:type="pct"/>
            <w:tcBorders>
              <w:bottom w:val="single" w:sz="4" w:space="0" w:color="auto"/>
            </w:tcBorders>
            <w:shd w:val="clear" w:color="auto" w:fill="auto"/>
            <w:noWrap/>
            <w:vAlign w:val="bottom"/>
          </w:tcPr>
          <w:p w:rsidR="00EF7A6B" w:rsidRPr="00EF7A6B" w:rsidRDefault="00EF7A6B" w:rsidP="00EF7A6B">
            <w:pPr>
              <w:pStyle w:val="NoSpacing"/>
              <w:jc w:val="center"/>
            </w:pPr>
            <w:r w:rsidRPr="00EF7A6B">
              <w:t>4.6</w:t>
            </w:r>
          </w:p>
        </w:tc>
        <w:tc>
          <w:tcPr>
            <w:tcW w:w="465" w:type="pct"/>
            <w:tcBorders>
              <w:bottom w:val="single" w:sz="4" w:space="0" w:color="auto"/>
            </w:tcBorders>
            <w:shd w:val="clear" w:color="auto" w:fill="auto"/>
            <w:noWrap/>
            <w:vAlign w:val="bottom"/>
          </w:tcPr>
          <w:p w:rsidR="00EF7A6B" w:rsidRPr="00EF7A6B" w:rsidRDefault="00EF7A6B" w:rsidP="00EF7A6B">
            <w:pPr>
              <w:pStyle w:val="NoSpacing"/>
              <w:jc w:val="center"/>
            </w:pPr>
            <w:r w:rsidRPr="00EF7A6B">
              <w:t>3.5</w:t>
            </w:r>
          </w:p>
        </w:tc>
        <w:tc>
          <w:tcPr>
            <w:tcW w:w="476" w:type="pct"/>
            <w:tcBorders>
              <w:bottom w:val="single" w:sz="4" w:space="0" w:color="auto"/>
            </w:tcBorders>
            <w:shd w:val="clear" w:color="auto" w:fill="auto"/>
            <w:noWrap/>
            <w:vAlign w:val="bottom"/>
          </w:tcPr>
          <w:p w:rsidR="00EF7A6B" w:rsidRPr="00EF7A6B" w:rsidRDefault="00EF7A6B" w:rsidP="00EF7A6B">
            <w:pPr>
              <w:pStyle w:val="NoSpacing"/>
              <w:jc w:val="center"/>
            </w:pPr>
            <w:r w:rsidRPr="00EF7A6B">
              <w:t>4.1</w:t>
            </w:r>
          </w:p>
        </w:tc>
      </w:tr>
      <w:tr w:rsidR="00EF7A6B" w:rsidRPr="002464DF" w:rsidTr="00EF7A6B">
        <w:trPr>
          <w:trHeight w:val="300"/>
        </w:trPr>
        <w:tc>
          <w:tcPr>
            <w:tcW w:w="720" w:type="pct"/>
            <w:tcBorders>
              <w:top w:val="single" w:sz="4" w:space="0" w:color="auto"/>
              <w:bottom w:val="single" w:sz="4" w:space="0" w:color="auto"/>
            </w:tcBorders>
            <w:vAlign w:val="bottom"/>
          </w:tcPr>
          <w:p w:rsidR="00EF7A6B" w:rsidRPr="002464DF" w:rsidRDefault="00EF7A6B" w:rsidP="00EF7A6B">
            <w:pPr>
              <w:pStyle w:val="NoSpacing"/>
            </w:pPr>
          </w:p>
        </w:tc>
        <w:tc>
          <w:tcPr>
            <w:tcW w:w="476" w:type="pct"/>
            <w:tcBorders>
              <w:top w:val="single" w:sz="4" w:space="0" w:color="auto"/>
              <w:bottom w:val="single" w:sz="4" w:space="0" w:color="auto"/>
            </w:tcBorders>
            <w:shd w:val="clear" w:color="auto" w:fill="auto"/>
            <w:noWrap/>
            <w:vAlign w:val="bottom"/>
            <w:hideMark/>
          </w:tcPr>
          <w:p w:rsidR="00EF7A6B" w:rsidRPr="002464DF" w:rsidRDefault="00EF7A6B" w:rsidP="00EF7A6B">
            <w:pPr>
              <w:pStyle w:val="NoSpacing"/>
            </w:pPr>
            <w:r>
              <w:t>A</w:t>
            </w:r>
            <w:r w:rsidRPr="002464DF">
              <w:t>verage</w:t>
            </w:r>
          </w:p>
        </w:tc>
        <w:tc>
          <w:tcPr>
            <w:tcW w:w="389" w:type="pct"/>
            <w:tcBorders>
              <w:top w:val="single" w:sz="4" w:space="0" w:color="auto"/>
              <w:bottom w:val="single" w:sz="4" w:space="0" w:color="auto"/>
            </w:tcBorders>
            <w:shd w:val="clear" w:color="auto" w:fill="auto"/>
            <w:noWrap/>
            <w:vAlign w:val="bottom"/>
          </w:tcPr>
          <w:p w:rsidR="00EF7A6B" w:rsidRPr="00EF7A6B" w:rsidRDefault="00EF7A6B" w:rsidP="00EF7A6B">
            <w:pPr>
              <w:pStyle w:val="NoSpacing"/>
              <w:jc w:val="center"/>
            </w:pPr>
            <w:r w:rsidRPr="00EF7A6B">
              <w:t>1.9</w:t>
            </w:r>
          </w:p>
        </w:tc>
        <w:tc>
          <w:tcPr>
            <w:tcW w:w="343" w:type="pct"/>
            <w:tcBorders>
              <w:top w:val="single" w:sz="4" w:space="0" w:color="auto"/>
              <w:bottom w:val="single" w:sz="4" w:space="0" w:color="auto"/>
            </w:tcBorders>
            <w:shd w:val="clear" w:color="auto" w:fill="auto"/>
            <w:noWrap/>
            <w:vAlign w:val="bottom"/>
          </w:tcPr>
          <w:p w:rsidR="00EF7A6B" w:rsidRPr="00EF7A6B" w:rsidRDefault="00EF7A6B" w:rsidP="00EF7A6B">
            <w:pPr>
              <w:pStyle w:val="NoSpacing"/>
              <w:jc w:val="center"/>
            </w:pPr>
            <w:r w:rsidRPr="00EF7A6B">
              <w:t>1.9</w:t>
            </w:r>
          </w:p>
        </w:tc>
        <w:tc>
          <w:tcPr>
            <w:tcW w:w="592" w:type="pct"/>
            <w:tcBorders>
              <w:top w:val="single" w:sz="4" w:space="0" w:color="auto"/>
              <w:bottom w:val="single" w:sz="4" w:space="0" w:color="auto"/>
            </w:tcBorders>
            <w:shd w:val="clear" w:color="auto" w:fill="auto"/>
            <w:noWrap/>
            <w:vAlign w:val="bottom"/>
          </w:tcPr>
          <w:p w:rsidR="00EF7A6B" w:rsidRPr="00EF7A6B" w:rsidRDefault="00EF7A6B" w:rsidP="00EF7A6B">
            <w:pPr>
              <w:pStyle w:val="NoSpacing"/>
              <w:jc w:val="center"/>
            </w:pPr>
            <w:r w:rsidRPr="00EF7A6B">
              <w:t>2.3</w:t>
            </w:r>
          </w:p>
        </w:tc>
        <w:tc>
          <w:tcPr>
            <w:tcW w:w="724" w:type="pct"/>
            <w:tcBorders>
              <w:top w:val="single" w:sz="4" w:space="0" w:color="auto"/>
              <w:bottom w:val="single" w:sz="4" w:space="0" w:color="auto"/>
            </w:tcBorders>
            <w:shd w:val="clear" w:color="auto" w:fill="auto"/>
            <w:noWrap/>
            <w:vAlign w:val="bottom"/>
          </w:tcPr>
          <w:p w:rsidR="00EF7A6B" w:rsidRPr="00EF7A6B" w:rsidRDefault="00EF7A6B" w:rsidP="00EF7A6B">
            <w:pPr>
              <w:pStyle w:val="NoSpacing"/>
              <w:jc w:val="center"/>
            </w:pPr>
            <w:r w:rsidRPr="00EF7A6B">
              <w:t>2.0</w:t>
            </w:r>
          </w:p>
        </w:tc>
        <w:tc>
          <w:tcPr>
            <w:tcW w:w="330" w:type="pct"/>
            <w:tcBorders>
              <w:top w:val="single" w:sz="4" w:space="0" w:color="auto"/>
              <w:bottom w:val="single" w:sz="4" w:space="0" w:color="auto"/>
            </w:tcBorders>
            <w:shd w:val="clear" w:color="auto" w:fill="auto"/>
            <w:noWrap/>
            <w:vAlign w:val="bottom"/>
          </w:tcPr>
          <w:p w:rsidR="00EF7A6B" w:rsidRPr="00EF7A6B" w:rsidRDefault="00EF7A6B" w:rsidP="00EF7A6B">
            <w:pPr>
              <w:pStyle w:val="NoSpacing"/>
              <w:jc w:val="center"/>
            </w:pPr>
            <w:r w:rsidRPr="00EF7A6B">
              <w:t>2.1</w:t>
            </w:r>
          </w:p>
        </w:tc>
        <w:tc>
          <w:tcPr>
            <w:tcW w:w="485" w:type="pct"/>
            <w:tcBorders>
              <w:top w:val="single" w:sz="4" w:space="0" w:color="auto"/>
              <w:bottom w:val="single" w:sz="4" w:space="0" w:color="auto"/>
            </w:tcBorders>
            <w:shd w:val="clear" w:color="auto" w:fill="auto"/>
            <w:noWrap/>
            <w:vAlign w:val="bottom"/>
          </w:tcPr>
          <w:p w:rsidR="00EF7A6B" w:rsidRPr="00EF7A6B" w:rsidRDefault="00EF7A6B" w:rsidP="00EF7A6B">
            <w:pPr>
              <w:pStyle w:val="NoSpacing"/>
              <w:jc w:val="center"/>
            </w:pPr>
            <w:r w:rsidRPr="00EF7A6B">
              <w:t>1.9</w:t>
            </w:r>
          </w:p>
        </w:tc>
        <w:tc>
          <w:tcPr>
            <w:tcW w:w="465" w:type="pct"/>
            <w:tcBorders>
              <w:top w:val="single" w:sz="4" w:space="0" w:color="auto"/>
              <w:bottom w:val="single" w:sz="4" w:space="0" w:color="auto"/>
            </w:tcBorders>
            <w:shd w:val="clear" w:color="auto" w:fill="auto"/>
            <w:noWrap/>
            <w:vAlign w:val="bottom"/>
          </w:tcPr>
          <w:p w:rsidR="00EF7A6B" w:rsidRPr="00EF7A6B" w:rsidRDefault="00EF7A6B" w:rsidP="00EF7A6B">
            <w:pPr>
              <w:pStyle w:val="NoSpacing"/>
              <w:jc w:val="center"/>
            </w:pPr>
            <w:r w:rsidRPr="00EF7A6B">
              <w:t>2.0</w:t>
            </w:r>
          </w:p>
        </w:tc>
        <w:tc>
          <w:tcPr>
            <w:tcW w:w="476" w:type="pct"/>
            <w:tcBorders>
              <w:top w:val="single" w:sz="4" w:space="0" w:color="auto"/>
              <w:bottom w:val="single" w:sz="4" w:space="0" w:color="auto"/>
            </w:tcBorders>
            <w:shd w:val="clear" w:color="auto" w:fill="auto"/>
            <w:noWrap/>
            <w:vAlign w:val="bottom"/>
          </w:tcPr>
          <w:p w:rsidR="00EF7A6B" w:rsidRPr="00EF7A6B" w:rsidRDefault="00EF7A6B" w:rsidP="00EF7A6B">
            <w:pPr>
              <w:pStyle w:val="NoSpacing"/>
              <w:jc w:val="center"/>
            </w:pPr>
            <w:r w:rsidRPr="00EF7A6B">
              <w:t>2.0</w:t>
            </w:r>
          </w:p>
        </w:tc>
      </w:tr>
    </w:tbl>
    <w:p w:rsidR="00D26D9E" w:rsidRDefault="00D26D9E" w:rsidP="00D26D9E">
      <w:pPr>
        <w:pStyle w:val="NoSpacing"/>
      </w:pPr>
    </w:p>
    <w:p w:rsidR="00EF7A6B" w:rsidRDefault="00EF7A6B" w:rsidP="00D26D9E">
      <w:pPr>
        <w:pStyle w:val="NoSpacing"/>
      </w:pPr>
      <w:r>
        <w:rPr>
          <w:noProof/>
          <w:lang w:val="en-US"/>
        </w:rPr>
        <w:drawing>
          <wp:inline distT="0" distB="0" distL="0" distR="0" wp14:anchorId="1C8E55A2" wp14:editId="65057F0F">
            <wp:extent cx="4572000" cy="2743200"/>
            <wp:effectExtent l="0" t="0" r="19050" b="19050"/>
            <wp:docPr id="34" name="Chart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D26D9E" w:rsidRDefault="00D26D9E" w:rsidP="00D26D9E">
      <w:pPr>
        <w:pStyle w:val="NoSpacing"/>
      </w:pPr>
    </w:p>
    <w:p w:rsidR="0069486A" w:rsidRDefault="0069486A" w:rsidP="00D26D9E">
      <w:pPr>
        <w:pStyle w:val="NoSpacing"/>
      </w:pPr>
      <w:r>
        <w:rPr>
          <w:noProof/>
          <w:lang w:val="en-US"/>
        </w:rPr>
        <w:drawing>
          <wp:inline distT="0" distB="0" distL="0" distR="0" wp14:anchorId="35697659" wp14:editId="29EADEF4">
            <wp:extent cx="4572000" cy="2743200"/>
            <wp:effectExtent l="0" t="0" r="19050" b="19050"/>
            <wp:docPr id="37" name="Chart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69486A" w:rsidRDefault="0069486A" w:rsidP="00D26D9E">
      <w:pPr>
        <w:pStyle w:val="NoSpacing"/>
      </w:pPr>
    </w:p>
    <w:p w:rsidR="003159B3" w:rsidRDefault="003159B3" w:rsidP="00D26D9E">
      <w:pPr>
        <w:pStyle w:val="NoSpacing"/>
      </w:pPr>
    </w:p>
    <w:p w:rsidR="002E4633" w:rsidRDefault="002E4633">
      <w:pPr>
        <w:rPr>
          <w:rFonts w:ascii="Verdana" w:hAnsi="Verdana"/>
          <w:i/>
          <w:sz w:val="17"/>
          <w:lang w:val="en-GB"/>
        </w:rPr>
      </w:pPr>
      <w:r>
        <w:rPr>
          <w:i/>
        </w:rPr>
        <w:br w:type="page"/>
      </w:r>
    </w:p>
    <w:p w:rsidR="00D26D9E" w:rsidRPr="00D26D9E" w:rsidRDefault="00D26D9E" w:rsidP="00D26D9E">
      <w:pPr>
        <w:pStyle w:val="NoSpacing"/>
        <w:rPr>
          <w:i/>
        </w:rPr>
      </w:pPr>
      <w:r w:rsidRPr="00D26D9E">
        <w:rPr>
          <w:i/>
        </w:rPr>
        <w:lastRenderedPageBreak/>
        <w:t>Grain yield (kg/ha)</w:t>
      </w:r>
    </w:p>
    <w:tbl>
      <w:tblPr>
        <w:tblW w:w="5000" w:type="pct"/>
        <w:tblBorders>
          <w:top w:val="single" w:sz="4" w:space="0" w:color="auto"/>
          <w:bottom w:val="single" w:sz="4" w:space="0" w:color="auto"/>
        </w:tblBorders>
        <w:tblLook w:val="04A0" w:firstRow="1" w:lastRow="0" w:firstColumn="1" w:lastColumn="0" w:noHBand="0" w:noVBand="1"/>
      </w:tblPr>
      <w:tblGrid>
        <w:gridCol w:w="1383"/>
        <w:gridCol w:w="916"/>
        <w:gridCol w:w="746"/>
        <w:gridCol w:w="657"/>
        <w:gridCol w:w="1136"/>
        <w:gridCol w:w="1394"/>
        <w:gridCol w:w="649"/>
        <w:gridCol w:w="931"/>
        <w:gridCol w:w="894"/>
        <w:gridCol w:w="916"/>
      </w:tblGrid>
      <w:tr w:rsidR="00D26D9E" w:rsidRPr="002464DF" w:rsidTr="00EF7A6B">
        <w:trPr>
          <w:trHeight w:val="300"/>
        </w:trPr>
        <w:tc>
          <w:tcPr>
            <w:tcW w:w="720" w:type="pct"/>
            <w:tcBorders>
              <w:top w:val="single" w:sz="4" w:space="0" w:color="auto"/>
              <w:bottom w:val="single" w:sz="4" w:space="0" w:color="auto"/>
            </w:tcBorders>
            <w:vAlign w:val="bottom"/>
          </w:tcPr>
          <w:p w:rsidR="00D26D9E" w:rsidRPr="002464DF" w:rsidRDefault="00D26D9E" w:rsidP="00EF7A6B">
            <w:pPr>
              <w:pStyle w:val="NoSpacing"/>
              <w:jc w:val="center"/>
            </w:pPr>
          </w:p>
        </w:tc>
        <w:tc>
          <w:tcPr>
            <w:tcW w:w="476" w:type="pct"/>
            <w:tcBorders>
              <w:top w:val="single" w:sz="4" w:space="0" w:color="auto"/>
              <w:bottom w:val="single" w:sz="4" w:space="0" w:color="auto"/>
            </w:tcBorders>
            <w:shd w:val="clear" w:color="auto" w:fill="auto"/>
            <w:noWrap/>
            <w:vAlign w:val="bottom"/>
            <w:hideMark/>
          </w:tcPr>
          <w:p w:rsidR="00D26D9E" w:rsidRPr="002464DF" w:rsidRDefault="00D26D9E" w:rsidP="00EF7A6B">
            <w:pPr>
              <w:pStyle w:val="NoSpacing"/>
              <w:jc w:val="center"/>
            </w:pPr>
          </w:p>
        </w:tc>
        <w:tc>
          <w:tcPr>
            <w:tcW w:w="389" w:type="pct"/>
            <w:tcBorders>
              <w:top w:val="single" w:sz="4" w:space="0" w:color="auto"/>
              <w:bottom w:val="single" w:sz="4" w:space="0" w:color="auto"/>
            </w:tcBorders>
            <w:shd w:val="clear" w:color="auto" w:fill="auto"/>
            <w:noWrap/>
            <w:vAlign w:val="bottom"/>
            <w:hideMark/>
          </w:tcPr>
          <w:p w:rsidR="00D26D9E" w:rsidRPr="002464DF" w:rsidRDefault="00D26D9E" w:rsidP="00EF7A6B">
            <w:pPr>
              <w:pStyle w:val="NoSpacing"/>
              <w:jc w:val="center"/>
            </w:pPr>
            <w:r>
              <w:t>None</w:t>
            </w:r>
          </w:p>
        </w:tc>
        <w:tc>
          <w:tcPr>
            <w:tcW w:w="343" w:type="pct"/>
            <w:tcBorders>
              <w:top w:val="single" w:sz="4" w:space="0" w:color="auto"/>
              <w:bottom w:val="single" w:sz="4" w:space="0" w:color="auto"/>
            </w:tcBorders>
            <w:shd w:val="clear" w:color="auto" w:fill="auto"/>
            <w:noWrap/>
            <w:vAlign w:val="bottom"/>
            <w:hideMark/>
          </w:tcPr>
          <w:p w:rsidR="00D26D9E" w:rsidRPr="002464DF" w:rsidRDefault="00D26D9E" w:rsidP="00EF7A6B">
            <w:pPr>
              <w:pStyle w:val="NoSpacing"/>
              <w:jc w:val="center"/>
            </w:pPr>
            <w:r w:rsidRPr="002464DF">
              <w:t>DAP</w:t>
            </w:r>
          </w:p>
        </w:tc>
        <w:tc>
          <w:tcPr>
            <w:tcW w:w="592" w:type="pct"/>
            <w:tcBorders>
              <w:top w:val="single" w:sz="4" w:space="0" w:color="auto"/>
              <w:bottom w:val="single" w:sz="4" w:space="0" w:color="auto"/>
            </w:tcBorders>
            <w:shd w:val="clear" w:color="auto" w:fill="auto"/>
            <w:noWrap/>
            <w:vAlign w:val="bottom"/>
            <w:hideMark/>
          </w:tcPr>
          <w:p w:rsidR="00D26D9E" w:rsidRPr="002464DF" w:rsidRDefault="00D26D9E" w:rsidP="00EF7A6B">
            <w:pPr>
              <w:pStyle w:val="NoSpacing"/>
              <w:jc w:val="center"/>
            </w:pPr>
            <w:r w:rsidRPr="002464DF">
              <w:t>MRP-DUST</w:t>
            </w:r>
          </w:p>
        </w:tc>
        <w:tc>
          <w:tcPr>
            <w:tcW w:w="724" w:type="pct"/>
            <w:tcBorders>
              <w:top w:val="single" w:sz="4" w:space="0" w:color="auto"/>
              <w:bottom w:val="single" w:sz="4" w:space="0" w:color="auto"/>
            </w:tcBorders>
            <w:shd w:val="clear" w:color="auto" w:fill="auto"/>
            <w:noWrap/>
            <w:vAlign w:val="bottom"/>
            <w:hideMark/>
          </w:tcPr>
          <w:p w:rsidR="00D26D9E" w:rsidRPr="002464DF" w:rsidRDefault="00D26D9E" w:rsidP="00EF7A6B">
            <w:pPr>
              <w:pStyle w:val="NoSpacing"/>
              <w:jc w:val="center"/>
            </w:pPr>
            <w:r w:rsidRPr="002464DF">
              <w:t>MRP-PALLETS</w:t>
            </w:r>
          </w:p>
        </w:tc>
        <w:tc>
          <w:tcPr>
            <w:tcW w:w="330" w:type="pct"/>
            <w:tcBorders>
              <w:top w:val="single" w:sz="4" w:space="0" w:color="auto"/>
              <w:bottom w:val="single" w:sz="4" w:space="0" w:color="auto"/>
            </w:tcBorders>
            <w:shd w:val="clear" w:color="auto" w:fill="auto"/>
            <w:noWrap/>
            <w:vAlign w:val="bottom"/>
            <w:hideMark/>
          </w:tcPr>
          <w:p w:rsidR="00D26D9E" w:rsidRPr="002464DF" w:rsidRDefault="00D26D9E" w:rsidP="00EF7A6B">
            <w:pPr>
              <w:pStyle w:val="NoSpacing"/>
              <w:jc w:val="center"/>
            </w:pPr>
            <w:r w:rsidRPr="002464DF">
              <w:t>TSP</w:t>
            </w:r>
          </w:p>
        </w:tc>
        <w:tc>
          <w:tcPr>
            <w:tcW w:w="485" w:type="pct"/>
            <w:tcBorders>
              <w:top w:val="single" w:sz="4" w:space="0" w:color="auto"/>
              <w:bottom w:val="single" w:sz="4" w:space="0" w:color="auto"/>
            </w:tcBorders>
            <w:shd w:val="clear" w:color="auto" w:fill="auto"/>
            <w:noWrap/>
            <w:vAlign w:val="bottom"/>
            <w:hideMark/>
          </w:tcPr>
          <w:p w:rsidR="00D26D9E" w:rsidRPr="002464DF" w:rsidRDefault="00D26D9E" w:rsidP="00EF7A6B">
            <w:pPr>
              <w:pStyle w:val="NoSpacing"/>
              <w:jc w:val="center"/>
            </w:pPr>
            <w:r w:rsidRPr="002464DF">
              <w:t>TSP/</w:t>
            </w:r>
            <w:proofErr w:type="spellStart"/>
            <w:r w:rsidRPr="002464DF">
              <w:t>KC</w:t>
            </w:r>
            <w:r>
              <w:t>l</w:t>
            </w:r>
            <w:proofErr w:type="spellEnd"/>
          </w:p>
        </w:tc>
        <w:tc>
          <w:tcPr>
            <w:tcW w:w="465" w:type="pct"/>
            <w:tcBorders>
              <w:top w:val="single" w:sz="4" w:space="0" w:color="auto"/>
              <w:bottom w:val="single" w:sz="4" w:space="0" w:color="auto"/>
            </w:tcBorders>
            <w:shd w:val="clear" w:color="auto" w:fill="auto"/>
            <w:noWrap/>
            <w:vAlign w:val="bottom"/>
            <w:hideMark/>
          </w:tcPr>
          <w:p w:rsidR="00D26D9E" w:rsidRPr="002464DF" w:rsidRDefault="00D26D9E" w:rsidP="00EF7A6B">
            <w:pPr>
              <w:pStyle w:val="NoSpacing"/>
              <w:jc w:val="center"/>
            </w:pPr>
            <w:r w:rsidRPr="002464DF">
              <w:t>SYMPAL</w:t>
            </w:r>
          </w:p>
        </w:tc>
        <w:tc>
          <w:tcPr>
            <w:tcW w:w="476" w:type="pct"/>
            <w:tcBorders>
              <w:top w:val="single" w:sz="4" w:space="0" w:color="auto"/>
              <w:bottom w:val="single" w:sz="4" w:space="0" w:color="auto"/>
            </w:tcBorders>
            <w:shd w:val="clear" w:color="auto" w:fill="auto"/>
            <w:noWrap/>
            <w:vAlign w:val="bottom"/>
            <w:hideMark/>
          </w:tcPr>
          <w:p w:rsidR="00D26D9E" w:rsidRPr="002464DF" w:rsidRDefault="00D26D9E" w:rsidP="00EF7A6B">
            <w:pPr>
              <w:pStyle w:val="NoSpacing"/>
              <w:jc w:val="center"/>
            </w:pPr>
            <w:r w:rsidRPr="002464DF">
              <w:t>Average</w:t>
            </w:r>
          </w:p>
        </w:tc>
      </w:tr>
      <w:tr w:rsidR="00EF7A6B" w:rsidRPr="002464DF" w:rsidTr="000D000C">
        <w:trPr>
          <w:trHeight w:val="300"/>
        </w:trPr>
        <w:tc>
          <w:tcPr>
            <w:tcW w:w="721" w:type="pct"/>
            <w:vMerge w:val="restart"/>
            <w:tcBorders>
              <w:top w:val="single" w:sz="4" w:space="0" w:color="auto"/>
            </w:tcBorders>
            <w:vAlign w:val="center"/>
          </w:tcPr>
          <w:p w:rsidR="00EF7A6B" w:rsidRPr="002464DF" w:rsidRDefault="00EF7A6B" w:rsidP="000D000C">
            <w:pPr>
              <w:pStyle w:val="NoSpacing"/>
            </w:pPr>
            <w:r>
              <w:t>Without lime</w:t>
            </w:r>
          </w:p>
        </w:tc>
        <w:tc>
          <w:tcPr>
            <w:tcW w:w="476" w:type="pct"/>
            <w:tcBorders>
              <w:top w:val="single" w:sz="4" w:space="0" w:color="auto"/>
            </w:tcBorders>
            <w:shd w:val="clear" w:color="auto" w:fill="auto"/>
            <w:noWrap/>
            <w:vAlign w:val="bottom"/>
            <w:hideMark/>
          </w:tcPr>
          <w:p w:rsidR="00EF7A6B" w:rsidRPr="002464DF" w:rsidRDefault="00EF7A6B" w:rsidP="000D000C">
            <w:pPr>
              <w:pStyle w:val="NoSpacing"/>
            </w:pPr>
            <w:r w:rsidRPr="002464DF">
              <w:t xml:space="preserve">- </w:t>
            </w:r>
            <w:proofErr w:type="spellStart"/>
            <w:r w:rsidRPr="002464DF">
              <w:t>inoc</w:t>
            </w:r>
            <w:proofErr w:type="spellEnd"/>
          </w:p>
        </w:tc>
        <w:tc>
          <w:tcPr>
            <w:tcW w:w="389" w:type="pct"/>
            <w:tcBorders>
              <w:top w:val="single" w:sz="4" w:space="0" w:color="auto"/>
            </w:tcBorders>
            <w:shd w:val="clear" w:color="auto" w:fill="auto"/>
            <w:noWrap/>
            <w:vAlign w:val="bottom"/>
          </w:tcPr>
          <w:p w:rsidR="00EF7A6B" w:rsidRDefault="00EF7A6B" w:rsidP="00EF7A6B">
            <w:pPr>
              <w:pStyle w:val="NoSpacing"/>
              <w:jc w:val="center"/>
            </w:pPr>
            <w:r>
              <w:t>610</w:t>
            </w:r>
          </w:p>
        </w:tc>
        <w:tc>
          <w:tcPr>
            <w:tcW w:w="343" w:type="pct"/>
            <w:tcBorders>
              <w:top w:val="single" w:sz="4" w:space="0" w:color="auto"/>
            </w:tcBorders>
            <w:shd w:val="clear" w:color="auto" w:fill="auto"/>
            <w:noWrap/>
            <w:vAlign w:val="bottom"/>
          </w:tcPr>
          <w:p w:rsidR="00EF7A6B" w:rsidRDefault="00EF7A6B" w:rsidP="00EF7A6B">
            <w:pPr>
              <w:pStyle w:val="NoSpacing"/>
              <w:jc w:val="center"/>
            </w:pPr>
            <w:r>
              <w:t>874</w:t>
            </w:r>
          </w:p>
        </w:tc>
        <w:tc>
          <w:tcPr>
            <w:tcW w:w="592" w:type="pct"/>
            <w:tcBorders>
              <w:top w:val="single" w:sz="4" w:space="0" w:color="auto"/>
            </w:tcBorders>
            <w:shd w:val="clear" w:color="auto" w:fill="auto"/>
            <w:noWrap/>
            <w:vAlign w:val="bottom"/>
          </w:tcPr>
          <w:p w:rsidR="00EF7A6B" w:rsidRDefault="00EF7A6B" w:rsidP="00EF7A6B">
            <w:pPr>
              <w:pStyle w:val="NoSpacing"/>
              <w:jc w:val="center"/>
            </w:pPr>
            <w:r>
              <w:t>899</w:t>
            </w:r>
          </w:p>
        </w:tc>
        <w:tc>
          <w:tcPr>
            <w:tcW w:w="724" w:type="pct"/>
            <w:tcBorders>
              <w:top w:val="single" w:sz="4" w:space="0" w:color="auto"/>
            </w:tcBorders>
            <w:shd w:val="clear" w:color="auto" w:fill="auto"/>
            <w:noWrap/>
            <w:vAlign w:val="bottom"/>
          </w:tcPr>
          <w:p w:rsidR="00EF7A6B" w:rsidRDefault="00EF7A6B" w:rsidP="00EF7A6B">
            <w:pPr>
              <w:pStyle w:val="NoSpacing"/>
              <w:jc w:val="center"/>
            </w:pPr>
            <w:r>
              <w:t>732</w:t>
            </w:r>
          </w:p>
        </w:tc>
        <w:tc>
          <w:tcPr>
            <w:tcW w:w="330" w:type="pct"/>
            <w:tcBorders>
              <w:top w:val="single" w:sz="4" w:space="0" w:color="auto"/>
            </w:tcBorders>
            <w:shd w:val="clear" w:color="auto" w:fill="auto"/>
            <w:noWrap/>
            <w:vAlign w:val="bottom"/>
          </w:tcPr>
          <w:p w:rsidR="00EF7A6B" w:rsidRDefault="00EF7A6B" w:rsidP="00EF7A6B">
            <w:pPr>
              <w:pStyle w:val="NoSpacing"/>
              <w:jc w:val="center"/>
            </w:pPr>
            <w:r>
              <w:t>953</w:t>
            </w:r>
          </w:p>
        </w:tc>
        <w:tc>
          <w:tcPr>
            <w:tcW w:w="485" w:type="pct"/>
            <w:tcBorders>
              <w:top w:val="single" w:sz="4" w:space="0" w:color="auto"/>
            </w:tcBorders>
            <w:shd w:val="clear" w:color="auto" w:fill="auto"/>
            <w:noWrap/>
            <w:vAlign w:val="bottom"/>
          </w:tcPr>
          <w:p w:rsidR="00EF7A6B" w:rsidRDefault="00EF7A6B" w:rsidP="00EF7A6B">
            <w:pPr>
              <w:pStyle w:val="NoSpacing"/>
              <w:jc w:val="center"/>
            </w:pPr>
            <w:r>
              <w:t>930</w:t>
            </w:r>
          </w:p>
        </w:tc>
        <w:tc>
          <w:tcPr>
            <w:tcW w:w="465" w:type="pct"/>
            <w:tcBorders>
              <w:top w:val="single" w:sz="4" w:space="0" w:color="auto"/>
            </w:tcBorders>
            <w:shd w:val="clear" w:color="auto" w:fill="auto"/>
            <w:noWrap/>
            <w:vAlign w:val="bottom"/>
          </w:tcPr>
          <w:p w:rsidR="00EF7A6B" w:rsidRDefault="00EF7A6B" w:rsidP="00EF7A6B">
            <w:pPr>
              <w:pStyle w:val="NoSpacing"/>
              <w:jc w:val="center"/>
            </w:pPr>
            <w:r>
              <w:t>907</w:t>
            </w:r>
          </w:p>
        </w:tc>
        <w:tc>
          <w:tcPr>
            <w:tcW w:w="476" w:type="pct"/>
            <w:tcBorders>
              <w:top w:val="single" w:sz="4" w:space="0" w:color="auto"/>
            </w:tcBorders>
            <w:shd w:val="clear" w:color="auto" w:fill="auto"/>
            <w:noWrap/>
            <w:vAlign w:val="bottom"/>
          </w:tcPr>
          <w:p w:rsidR="00EF7A6B" w:rsidRDefault="00EF7A6B" w:rsidP="00EF7A6B">
            <w:pPr>
              <w:pStyle w:val="NoSpacing"/>
              <w:jc w:val="center"/>
            </w:pPr>
            <w:r>
              <w:t>844</w:t>
            </w:r>
          </w:p>
        </w:tc>
      </w:tr>
      <w:tr w:rsidR="00EF7A6B" w:rsidRPr="002464DF" w:rsidTr="00EF7A6B">
        <w:trPr>
          <w:trHeight w:val="300"/>
        </w:trPr>
        <w:tc>
          <w:tcPr>
            <w:tcW w:w="720" w:type="pct"/>
            <w:vMerge/>
            <w:vAlign w:val="center"/>
          </w:tcPr>
          <w:p w:rsidR="00EF7A6B" w:rsidRPr="002464DF" w:rsidRDefault="00EF7A6B" w:rsidP="000D000C">
            <w:pPr>
              <w:pStyle w:val="NoSpacing"/>
            </w:pPr>
          </w:p>
        </w:tc>
        <w:tc>
          <w:tcPr>
            <w:tcW w:w="476" w:type="pct"/>
            <w:shd w:val="clear" w:color="auto" w:fill="auto"/>
            <w:noWrap/>
            <w:vAlign w:val="bottom"/>
            <w:hideMark/>
          </w:tcPr>
          <w:p w:rsidR="00EF7A6B" w:rsidRPr="002464DF" w:rsidRDefault="00EF7A6B" w:rsidP="000D000C">
            <w:pPr>
              <w:pStyle w:val="NoSpacing"/>
            </w:pPr>
            <w:r w:rsidRPr="002464DF">
              <w:t xml:space="preserve">+ </w:t>
            </w:r>
            <w:proofErr w:type="spellStart"/>
            <w:r w:rsidRPr="002464DF">
              <w:t>inoc</w:t>
            </w:r>
            <w:proofErr w:type="spellEnd"/>
          </w:p>
        </w:tc>
        <w:tc>
          <w:tcPr>
            <w:tcW w:w="389" w:type="pct"/>
            <w:shd w:val="clear" w:color="auto" w:fill="auto"/>
            <w:noWrap/>
            <w:vAlign w:val="bottom"/>
          </w:tcPr>
          <w:p w:rsidR="00EF7A6B" w:rsidRDefault="00EF7A6B" w:rsidP="00EF7A6B">
            <w:pPr>
              <w:pStyle w:val="NoSpacing"/>
              <w:jc w:val="center"/>
            </w:pPr>
            <w:r>
              <w:t>731</w:t>
            </w:r>
          </w:p>
        </w:tc>
        <w:tc>
          <w:tcPr>
            <w:tcW w:w="343" w:type="pct"/>
            <w:shd w:val="clear" w:color="auto" w:fill="auto"/>
            <w:noWrap/>
            <w:vAlign w:val="bottom"/>
          </w:tcPr>
          <w:p w:rsidR="00EF7A6B" w:rsidRDefault="00EF7A6B" w:rsidP="00EF7A6B">
            <w:pPr>
              <w:pStyle w:val="NoSpacing"/>
              <w:jc w:val="center"/>
            </w:pPr>
            <w:r>
              <w:t>1211</w:t>
            </w:r>
          </w:p>
        </w:tc>
        <w:tc>
          <w:tcPr>
            <w:tcW w:w="592" w:type="pct"/>
            <w:shd w:val="clear" w:color="auto" w:fill="auto"/>
            <w:noWrap/>
            <w:vAlign w:val="bottom"/>
          </w:tcPr>
          <w:p w:rsidR="00EF7A6B" w:rsidRDefault="00EF7A6B" w:rsidP="00EF7A6B">
            <w:pPr>
              <w:pStyle w:val="NoSpacing"/>
              <w:jc w:val="center"/>
            </w:pPr>
            <w:r>
              <w:t>1742</w:t>
            </w:r>
          </w:p>
        </w:tc>
        <w:tc>
          <w:tcPr>
            <w:tcW w:w="724" w:type="pct"/>
            <w:shd w:val="clear" w:color="auto" w:fill="auto"/>
            <w:noWrap/>
            <w:vAlign w:val="bottom"/>
          </w:tcPr>
          <w:p w:rsidR="00EF7A6B" w:rsidRDefault="00EF7A6B" w:rsidP="00EF7A6B">
            <w:pPr>
              <w:pStyle w:val="NoSpacing"/>
              <w:jc w:val="center"/>
            </w:pPr>
            <w:r>
              <w:t>1676</w:t>
            </w:r>
          </w:p>
        </w:tc>
        <w:tc>
          <w:tcPr>
            <w:tcW w:w="330" w:type="pct"/>
            <w:shd w:val="clear" w:color="auto" w:fill="auto"/>
            <w:noWrap/>
            <w:vAlign w:val="bottom"/>
          </w:tcPr>
          <w:p w:rsidR="00EF7A6B" w:rsidRDefault="00EF7A6B" w:rsidP="00EF7A6B">
            <w:pPr>
              <w:pStyle w:val="NoSpacing"/>
              <w:jc w:val="center"/>
            </w:pPr>
            <w:r>
              <w:t>1398</w:t>
            </w:r>
          </w:p>
        </w:tc>
        <w:tc>
          <w:tcPr>
            <w:tcW w:w="485" w:type="pct"/>
            <w:shd w:val="clear" w:color="auto" w:fill="auto"/>
            <w:noWrap/>
            <w:vAlign w:val="bottom"/>
          </w:tcPr>
          <w:p w:rsidR="00EF7A6B" w:rsidRDefault="00EF7A6B" w:rsidP="00EF7A6B">
            <w:pPr>
              <w:pStyle w:val="NoSpacing"/>
              <w:jc w:val="center"/>
            </w:pPr>
            <w:r>
              <w:t>1762</w:t>
            </w:r>
          </w:p>
        </w:tc>
        <w:tc>
          <w:tcPr>
            <w:tcW w:w="465" w:type="pct"/>
            <w:shd w:val="clear" w:color="auto" w:fill="auto"/>
            <w:noWrap/>
            <w:vAlign w:val="bottom"/>
          </w:tcPr>
          <w:p w:rsidR="00EF7A6B" w:rsidRDefault="00EF7A6B" w:rsidP="00EF7A6B">
            <w:pPr>
              <w:pStyle w:val="NoSpacing"/>
              <w:jc w:val="center"/>
            </w:pPr>
            <w:r>
              <w:t>1018</w:t>
            </w:r>
          </w:p>
        </w:tc>
        <w:tc>
          <w:tcPr>
            <w:tcW w:w="476" w:type="pct"/>
            <w:shd w:val="clear" w:color="auto" w:fill="auto"/>
            <w:noWrap/>
            <w:vAlign w:val="bottom"/>
          </w:tcPr>
          <w:p w:rsidR="00EF7A6B" w:rsidRDefault="00EF7A6B" w:rsidP="00EF7A6B">
            <w:pPr>
              <w:pStyle w:val="NoSpacing"/>
              <w:jc w:val="center"/>
            </w:pPr>
            <w:r>
              <w:t>1363</w:t>
            </w:r>
          </w:p>
        </w:tc>
      </w:tr>
      <w:tr w:rsidR="00EF7A6B" w:rsidRPr="002464DF" w:rsidTr="00EF7A6B">
        <w:trPr>
          <w:trHeight w:val="300"/>
        </w:trPr>
        <w:tc>
          <w:tcPr>
            <w:tcW w:w="720" w:type="pct"/>
            <w:vMerge w:val="restart"/>
            <w:vAlign w:val="center"/>
          </w:tcPr>
          <w:p w:rsidR="00EF7A6B" w:rsidRPr="002464DF" w:rsidRDefault="00EF7A6B" w:rsidP="000D000C">
            <w:pPr>
              <w:pStyle w:val="NoSpacing"/>
            </w:pPr>
            <w:r>
              <w:t>With lime</w:t>
            </w:r>
          </w:p>
        </w:tc>
        <w:tc>
          <w:tcPr>
            <w:tcW w:w="476" w:type="pct"/>
            <w:shd w:val="clear" w:color="auto" w:fill="auto"/>
            <w:noWrap/>
            <w:vAlign w:val="bottom"/>
            <w:hideMark/>
          </w:tcPr>
          <w:p w:rsidR="00EF7A6B" w:rsidRPr="002464DF" w:rsidRDefault="00EF7A6B" w:rsidP="000D000C">
            <w:pPr>
              <w:pStyle w:val="NoSpacing"/>
            </w:pPr>
            <w:r w:rsidRPr="002464DF">
              <w:t xml:space="preserve">- </w:t>
            </w:r>
            <w:proofErr w:type="spellStart"/>
            <w:r w:rsidRPr="002464DF">
              <w:t>inoc</w:t>
            </w:r>
            <w:proofErr w:type="spellEnd"/>
          </w:p>
        </w:tc>
        <w:tc>
          <w:tcPr>
            <w:tcW w:w="389" w:type="pct"/>
            <w:shd w:val="clear" w:color="auto" w:fill="auto"/>
            <w:noWrap/>
            <w:vAlign w:val="bottom"/>
          </w:tcPr>
          <w:p w:rsidR="00EF7A6B" w:rsidRDefault="00EF7A6B" w:rsidP="00EF7A6B">
            <w:pPr>
              <w:pStyle w:val="NoSpacing"/>
              <w:jc w:val="center"/>
            </w:pPr>
            <w:r>
              <w:t>564</w:t>
            </w:r>
          </w:p>
        </w:tc>
        <w:tc>
          <w:tcPr>
            <w:tcW w:w="343" w:type="pct"/>
            <w:shd w:val="clear" w:color="auto" w:fill="auto"/>
            <w:noWrap/>
            <w:vAlign w:val="bottom"/>
          </w:tcPr>
          <w:p w:rsidR="00EF7A6B" w:rsidRDefault="00EF7A6B" w:rsidP="00EF7A6B">
            <w:pPr>
              <w:pStyle w:val="NoSpacing"/>
              <w:jc w:val="center"/>
            </w:pPr>
            <w:r>
              <w:t>674</w:t>
            </w:r>
          </w:p>
        </w:tc>
        <w:tc>
          <w:tcPr>
            <w:tcW w:w="592" w:type="pct"/>
            <w:shd w:val="clear" w:color="auto" w:fill="auto"/>
            <w:noWrap/>
            <w:vAlign w:val="bottom"/>
          </w:tcPr>
          <w:p w:rsidR="00EF7A6B" w:rsidRDefault="00EF7A6B" w:rsidP="00EF7A6B">
            <w:pPr>
              <w:pStyle w:val="NoSpacing"/>
              <w:jc w:val="center"/>
            </w:pPr>
            <w:r>
              <w:t>534</w:t>
            </w:r>
          </w:p>
        </w:tc>
        <w:tc>
          <w:tcPr>
            <w:tcW w:w="724" w:type="pct"/>
            <w:shd w:val="clear" w:color="auto" w:fill="auto"/>
            <w:noWrap/>
            <w:vAlign w:val="bottom"/>
          </w:tcPr>
          <w:p w:rsidR="00EF7A6B" w:rsidRDefault="00EF7A6B" w:rsidP="00EF7A6B">
            <w:pPr>
              <w:pStyle w:val="NoSpacing"/>
              <w:jc w:val="center"/>
            </w:pPr>
            <w:r>
              <w:t>683</w:t>
            </w:r>
          </w:p>
        </w:tc>
        <w:tc>
          <w:tcPr>
            <w:tcW w:w="330" w:type="pct"/>
            <w:shd w:val="clear" w:color="auto" w:fill="auto"/>
            <w:noWrap/>
            <w:vAlign w:val="bottom"/>
          </w:tcPr>
          <w:p w:rsidR="00EF7A6B" w:rsidRDefault="00EF7A6B" w:rsidP="00EF7A6B">
            <w:pPr>
              <w:pStyle w:val="NoSpacing"/>
              <w:jc w:val="center"/>
            </w:pPr>
            <w:r>
              <w:t>947</w:t>
            </w:r>
          </w:p>
        </w:tc>
        <w:tc>
          <w:tcPr>
            <w:tcW w:w="485" w:type="pct"/>
            <w:shd w:val="clear" w:color="auto" w:fill="auto"/>
            <w:noWrap/>
            <w:vAlign w:val="bottom"/>
          </w:tcPr>
          <w:p w:rsidR="00EF7A6B" w:rsidRDefault="00EF7A6B" w:rsidP="00EF7A6B">
            <w:pPr>
              <w:pStyle w:val="NoSpacing"/>
              <w:jc w:val="center"/>
            </w:pPr>
            <w:r>
              <w:t>481</w:t>
            </w:r>
          </w:p>
        </w:tc>
        <w:tc>
          <w:tcPr>
            <w:tcW w:w="465" w:type="pct"/>
            <w:shd w:val="clear" w:color="auto" w:fill="auto"/>
            <w:noWrap/>
            <w:vAlign w:val="bottom"/>
          </w:tcPr>
          <w:p w:rsidR="00EF7A6B" w:rsidRDefault="00EF7A6B" w:rsidP="00EF7A6B">
            <w:pPr>
              <w:pStyle w:val="NoSpacing"/>
              <w:jc w:val="center"/>
            </w:pPr>
            <w:r>
              <w:t>753</w:t>
            </w:r>
          </w:p>
        </w:tc>
        <w:tc>
          <w:tcPr>
            <w:tcW w:w="476" w:type="pct"/>
            <w:shd w:val="clear" w:color="auto" w:fill="auto"/>
            <w:noWrap/>
            <w:vAlign w:val="bottom"/>
          </w:tcPr>
          <w:p w:rsidR="00EF7A6B" w:rsidRDefault="00EF7A6B" w:rsidP="00EF7A6B">
            <w:pPr>
              <w:pStyle w:val="NoSpacing"/>
              <w:jc w:val="center"/>
            </w:pPr>
            <w:r>
              <w:t>662</w:t>
            </w:r>
          </w:p>
        </w:tc>
      </w:tr>
      <w:tr w:rsidR="00EF7A6B" w:rsidRPr="002464DF" w:rsidTr="00EF7A6B">
        <w:trPr>
          <w:trHeight w:val="300"/>
        </w:trPr>
        <w:tc>
          <w:tcPr>
            <w:tcW w:w="720" w:type="pct"/>
            <w:vMerge/>
            <w:tcBorders>
              <w:bottom w:val="single" w:sz="4" w:space="0" w:color="auto"/>
            </w:tcBorders>
            <w:vAlign w:val="bottom"/>
          </w:tcPr>
          <w:p w:rsidR="00EF7A6B" w:rsidRPr="002464DF" w:rsidRDefault="00EF7A6B" w:rsidP="000D000C">
            <w:pPr>
              <w:pStyle w:val="NoSpacing"/>
            </w:pPr>
          </w:p>
        </w:tc>
        <w:tc>
          <w:tcPr>
            <w:tcW w:w="476" w:type="pct"/>
            <w:tcBorders>
              <w:bottom w:val="single" w:sz="4" w:space="0" w:color="auto"/>
            </w:tcBorders>
            <w:shd w:val="clear" w:color="auto" w:fill="auto"/>
            <w:noWrap/>
            <w:vAlign w:val="bottom"/>
            <w:hideMark/>
          </w:tcPr>
          <w:p w:rsidR="00EF7A6B" w:rsidRPr="002464DF" w:rsidRDefault="00EF7A6B" w:rsidP="000D000C">
            <w:pPr>
              <w:pStyle w:val="NoSpacing"/>
            </w:pPr>
            <w:r w:rsidRPr="002464DF">
              <w:t xml:space="preserve">+ </w:t>
            </w:r>
            <w:proofErr w:type="spellStart"/>
            <w:r w:rsidRPr="002464DF">
              <w:t>inoc</w:t>
            </w:r>
            <w:proofErr w:type="spellEnd"/>
          </w:p>
        </w:tc>
        <w:tc>
          <w:tcPr>
            <w:tcW w:w="389" w:type="pct"/>
            <w:tcBorders>
              <w:bottom w:val="single" w:sz="4" w:space="0" w:color="auto"/>
            </w:tcBorders>
            <w:shd w:val="clear" w:color="auto" w:fill="auto"/>
            <w:noWrap/>
            <w:vAlign w:val="bottom"/>
          </w:tcPr>
          <w:p w:rsidR="00EF7A6B" w:rsidRDefault="00EF7A6B" w:rsidP="00EF7A6B">
            <w:pPr>
              <w:pStyle w:val="NoSpacing"/>
              <w:jc w:val="center"/>
            </w:pPr>
            <w:r>
              <w:t>641</w:t>
            </w:r>
          </w:p>
        </w:tc>
        <w:tc>
          <w:tcPr>
            <w:tcW w:w="343" w:type="pct"/>
            <w:tcBorders>
              <w:bottom w:val="single" w:sz="4" w:space="0" w:color="auto"/>
            </w:tcBorders>
            <w:shd w:val="clear" w:color="auto" w:fill="auto"/>
            <w:noWrap/>
            <w:vAlign w:val="bottom"/>
          </w:tcPr>
          <w:p w:rsidR="00EF7A6B" w:rsidRDefault="00EF7A6B" w:rsidP="00EF7A6B">
            <w:pPr>
              <w:pStyle w:val="NoSpacing"/>
              <w:jc w:val="center"/>
            </w:pPr>
            <w:r>
              <w:t>1007</w:t>
            </w:r>
          </w:p>
        </w:tc>
        <w:tc>
          <w:tcPr>
            <w:tcW w:w="592" w:type="pct"/>
            <w:tcBorders>
              <w:bottom w:val="single" w:sz="4" w:space="0" w:color="auto"/>
            </w:tcBorders>
            <w:shd w:val="clear" w:color="auto" w:fill="auto"/>
            <w:noWrap/>
            <w:vAlign w:val="bottom"/>
          </w:tcPr>
          <w:p w:rsidR="00EF7A6B" w:rsidRDefault="00EF7A6B" w:rsidP="00EF7A6B">
            <w:pPr>
              <w:pStyle w:val="NoSpacing"/>
              <w:jc w:val="center"/>
            </w:pPr>
            <w:r>
              <w:t>1826</w:t>
            </w:r>
          </w:p>
        </w:tc>
        <w:tc>
          <w:tcPr>
            <w:tcW w:w="724" w:type="pct"/>
            <w:tcBorders>
              <w:bottom w:val="single" w:sz="4" w:space="0" w:color="auto"/>
            </w:tcBorders>
            <w:shd w:val="clear" w:color="auto" w:fill="auto"/>
            <w:noWrap/>
            <w:vAlign w:val="bottom"/>
          </w:tcPr>
          <w:p w:rsidR="00EF7A6B" w:rsidRDefault="00EF7A6B" w:rsidP="00EF7A6B">
            <w:pPr>
              <w:pStyle w:val="NoSpacing"/>
              <w:jc w:val="center"/>
            </w:pPr>
            <w:r>
              <w:t>1600</w:t>
            </w:r>
          </w:p>
        </w:tc>
        <w:tc>
          <w:tcPr>
            <w:tcW w:w="330" w:type="pct"/>
            <w:tcBorders>
              <w:bottom w:val="single" w:sz="4" w:space="0" w:color="auto"/>
            </w:tcBorders>
            <w:shd w:val="clear" w:color="auto" w:fill="auto"/>
            <w:noWrap/>
            <w:vAlign w:val="bottom"/>
          </w:tcPr>
          <w:p w:rsidR="00EF7A6B" w:rsidRDefault="00EF7A6B" w:rsidP="00EF7A6B">
            <w:pPr>
              <w:pStyle w:val="NoSpacing"/>
              <w:jc w:val="center"/>
            </w:pPr>
            <w:r>
              <w:t>1507</w:t>
            </w:r>
          </w:p>
        </w:tc>
        <w:tc>
          <w:tcPr>
            <w:tcW w:w="485" w:type="pct"/>
            <w:tcBorders>
              <w:bottom w:val="single" w:sz="4" w:space="0" w:color="auto"/>
            </w:tcBorders>
            <w:shd w:val="clear" w:color="auto" w:fill="auto"/>
            <w:noWrap/>
            <w:vAlign w:val="bottom"/>
          </w:tcPr>
          <w:p w:rsidR="00EF7A6B" w:rsidRDefault="00EF7A6B" w:rsidP="00EF7A6B">
            <w:pPr>
              <w:pStyle w:val="NoSpacing"/>
              <w:jc w:val="center"/>
            </w:pPr>
            <w:r>
              <w:t>1109</w:t>
            </w:r>
          </w:p>
        </w:tc>
        <w:tc>
          <w:tcPr>
            <w:tcW w:w="465" w:type="pct"/>
            <w:tcBorders>
              <w:bottom w:val="single" w:sz="4" w:space="0" w:color="auto"/>
            </w:tcBorders>
            <w:shd w:val="clear" w:color="auto" w:fill="auto"/>
            <w:noWrap/>
            <w:vAlign w:val="bottom"/>
          </w:tcPr>
          <w:p w:rsidR="00EF7A6B" w:rsidRDefault="00EF7A6B" w:rsidP="00EF7A6B">
            <w:pPr>
              <w:pStyle w:val="NoSpacing"/>
              <w:jc w:val="center"/>
            </w:pPr>
            <w:r>
              <w:t>1119</w:t>
            </w:r>
          </w:p>
        </w:tc>
        <w:tc>
          <w:tcPr>
            <w:tcW w:w="476" w:type="pct"/>
            <w:tcBorders>
              <w:bottom w:val="single" w:sz="4" w:space="0" w:color="auto"/>
            </w:tcBorders>
            <w:shd w:val="clear" w:color="auto" w:fill="auto"/>
            <w:noWrap/>
            <w:vAlign w:val="bottom"/>
          </w:tcPr>
          <w:p w:rsidR="00EF7A6B" w:rsidRDefault="00EF7A6B" w:rsidP="00EF7A6B">
            <w:pPr>
              <w:pStyle w:val="NoSpacing"/>
              <w:jc w:val="center"/>
            </w:pPr>
            <w:r>
              <w:t>1259</w:t>
            </w:r>
          </w:p>
        </w:tc>
      </w:tr>
      <w:tr w:rsidR="00EF7A6B" w:rsidRPr="002464DF" w:rsidTr="00EF7A6B">
        <w:trPr>
          <w:trHeight w:val="300"/>
        </w:trPr>
        <w:tc>
          <w:tcPr>
            <w:tcW w:w="720" w:type="pct"/>
            <w:tcBorders>
              <w:top w:val="single" w:sz="4" w:space="0" w:color="auto"/>
              <w:bottom w:val="single" w:sz="4" w:space="0" w:color="auto"/>
            </w:tcBorders>
            <w:vAlign w:val="bottom"/>
          </w:tcPr>
          <w:p w:rsidR="00EF7A6B" w:rsidRPr="002464DF" w:rsidRDefault="00EF7A6B" w:rsidP="000D000C">
            <w:pPr>
              <w:pStyle w:val="NoSpacing"/>
            </w:pPr>
          </w:p>
        </w:tc>
        <w:tc>
          <w:tcPr>
            <w:tcW w:w="476" w:type="pct"/>
            <w:tcBorders>
              <w:top w:val="single" w:sz="4" w:space="0" w:color="auto"/>
              <w:bottom w:val="single" w:sz="4" w:space="0" w:color="auto"/>
            </w:tcBorders>
            <w:shd w:val="clear" w:color="auto" w:fill="auto"/>
            <w:noWrap/>
            <w:vAlign w:val="bottom"/>
            <w:hideMark/>
          </w:tcPr>
          <w:p w:rsidR="00EF7A6B" w:rsidRPr="002464DF" w:rsidRDefault="00EF7A6B" w:rsidP="000D000C">
            <w:pPr>
              <w:pStyle w:val="NoSpacing"/>
            </w:pPr>
            <w:r>
              <w:t>A</w:t>
            </w:r>
            <w:r w:rsidRPr="002464DF">
              <w:t>verage</w:t>
            </w:r>
          </w:p>
        </w:tc>
        <w:tc>
          <w:tcPr>
            <w:tcW w:w="389" w:type="pct"/>
            <w:tcBorders>
              <w:top w:val="single" w:sz="4" w:space="0" w:color="auto"/>
              <w:bottom w:val="single" w:sz="4" w:space="0" w:color="auto"/>
            </w:tcBorders>
            <w:shd w:val="clear" w:color="auto" w:fill="auto"/>
            <w:noWrap/>
            <w:vAlign w:val="bottom"/>
          </w:tcPr>
          <w:p w:rsidR="00EF7A6B" w:rsidRDefault="00EF7A6B" w:rsidP="00EF7A6B">
            <w:pPr>
              <w:pStyle w:val="NoSpacing"/>
              <w:jc w:val="center"/>
            </w:pPr>
            <w:r>
              <w:t>637</w:t>
            </w:r>
          </w:p>
        </w:tc>
        <w:tc>
          <w:tcPr>
            <w:tcW w:w="343" w:type="pct"/>
            <w:tcBorders>
              <w:top w:val="single" w:sz="4" w:space="0" w:color="auto"/>
              <w:bottom w:val="single" w:sz="4" w:space="0" w:color="auto"/>
            </w:tcBorders>
            <w:shd w:val="clear" w:color="auto" w:fill="auto"/>
            <w:noWrap/>
            <w:vAlign w:val="bottom"/>
          </w:tcPr>
          <w:p w:rsidR="00EF7A6B" w:rsidRDefault="00EF7A6B" w:rsidP="00EF7A6B">
            <w:pPr>
              <w:pStyle w:val="NoSpacing"/>
              <w:jc w:val="center"/>
            </w:pPr>
            <w:r>
              <w:t>942</w:t>
            </w:r>
          </w:p>
        </w:tc>
        <w:tc>
          <w:tcPr>
            <w:tcW w:w="592" w:type="pct"/>
            <w:tcBorders>
              <w:top w:val="single" w:sz="4" w:space="0" w:color="auto"/>
              <w:bottom w:val="single" w:sz="4" w:space="0" w:color="auto"/>
            </w:tcBorders>
            <w:shd w:val="clear" w:color="auto" w:fill="auto"/>
            <w:noWrap/>
            <w:vAlign w:val="bottom"/>
          </w:tcPr>
          <w:p w:rsidR="00EF7A6B" w:rsidRDefault="00EF7A6B" w:rsidP="00EF7A6B">
            <w:pPr>
              <w:pStyle w:val="NoSpacing"/>
              <w:jc w:val="center"/>
            </w:pPr>
            <w:r>
              <w:t>1250</w:t>
            </w:r>
          </w:p>
        </w:tc>
        <w:tc>
          <w:tcPr>
            <w:tcW w:w="724" w:type="pct"/>
            <w:tcBorders>
              <w:top w:val="single" w:sz="4" w:space="0" w:color="auto"/>
              <w:bottom w:val="single" w:sz="4" w:space="0" w:color="auto"/>
            </w:tcBorders>
            <w:shd w:val="clear" w:color="auto" w:fill="auto"/>
            <w:noWrap/>
            <w:vAlign w:val="bottom"/>
          </w:tcPr>
          <w:p w:rsidR="00EF7A6B" w:rsidRDefault="00EF7A6B" w:rsidP="00EF7A6B">
            <w:pPr>
              <w:pStyle w:val="NoSpacing"/>
              <w:jc w:val="center"/>
            </w:pPr>
            <w:r>
              <w:t>1173</w:t>
            </w:r>
          </w:p>
        </w:tc>
        <w:tc>
          <w:tcPr>
            <w:tcW w:w="330" w:type="pct"/>
            <w:tcBorders>
              <w:top w:val="single" w:sz="4" w:space="0" w:color="auto"/>
              <w:bottom w:val="single" w:sz="4" w:space="0" w:color="auto"/>
            </w:tcBorders>
            <w:shd w:val="clear" w:color="auto" w:fill="auto"/>
            <w:noWrap/>
            <w:vAlign w:val="bottom"/>
          </w:tcPr>
          <w:p w:rsidR="00EF7A6B" w:rsidRDefault="00EF7A6B" w:rsidP="00EF7A6B">
            <w:pPr>
              <w:pStyle w:val="NoSpacing"/>
              <w:jc w:val="center"/>
            </w:pPr>
            <w:r>
              <w:t>1201</w:t>
            </w:r>
          </w:p>
        </w:tc>
        <w:tc>
          <w:tcPr>
            <w:tcW w:w="485" w:type="pct"/>
            <w:tcBorders>
              <w:top w:val="single" w:sz="4" w:space="0" w:color="auto"/>
              <w:bottom w:val="single" w:sz="4" w:space="0" w:color="auto"/>
            </w:tcBorders>
            <w:shd w:val="clear" w:color="auto" w:fill="auto"/>
            <w:noWrap/>
            <w:vAlign w:val="bottom"/>
          </w:tcPr>
          <w:p w:rsidR="00EF7A6B" w:rsidRDefault="00EF7A6B" w:rsidP="00EF7A6B">
            <w:pPr>
              <w:pStyle w:val="NoSpacing"/>
              <w:jc w:val="center"/>
            </w:pPr>
            <w:r>
              <w:t>1071</w:t>
            </w:r>
          </w:p>
        </w:tc>
        <w:tc>
          <w:tcPr>
            <w:tcW w:w="465" w:type="pct"/>
            <w:tcBorders>
              <w:top w:val="single" w:sz="4" w:space="0" w:color="auto"/>
              <w:bottom w:val="single" w:sz="4" w:space="0" w:color="auto"/>
            </w:tcBorders>
            <w:shd w:val="clear" w:color="auto" w:fill="auto"/>
            <w:noWrap/>
            <w:vAlign w:val="bottom"/>
          </w:tcPr>
          <w:p w:rsidR="00EF7A6B" w:rsidRDefault="00EF7A6B" w:rsidP="00EF7A6B">
            <w:pPr>
              <w:pStyle w:val="NoSpacing"/>
              <w:jc w:val="center"/>
            </w:pPr>
            <w:r>
              <w:t>949</w:t>
            </w:r>
          </w:p>
        </w:tc>
        <w:tc>
          <w:tcPr>
            <w:tcW w:w="476" w:type="pct"/>
            <w:tcBorders>
              <w:top w:val="single" w:sz="4" w:space="0" w:color="auto"/>
              <w:bottom w:val="single" w:sz="4" w:space="0" w:color="auto"/>
            </w:tcBorders>
            <w:shd w:val="clear" w:color="auto" w:fill="auto"/>
            <w:noWrap/>
            <w:vAlign w:val="bottom"/>
          </w:tcPr>
          <w:p w:rsidR="00EF7A6B" w:rsidRDefault="00EF7A6B" w:rsidP="00EF7A6B">
            <w:pPr>
              <w:pStyle w:val="NoSpacing"/>
              <w:jc w:val="center"/>
            </w:pPr>
            <w:r>
              <w:t>1032</w:t>
            </w:r>
          </w:p>
        </w:tc>
      </w:tr>
    </w:tbl>
    <w:p w:rsidR="00D26D9E" w:rsidRDefault="00D26D9E" w:rsidP="00D26D9E">
      <w:pPr>
        <w:pStyle w:val="NoSpacing"/>
      </w:pPr>
    </w:p>
    <w:p w:rsidR="00D26D9E" w:rsidRDefault="00EF7A6B" w:rsidP="00D26D9E">
      <w:pPr>
        <w:pStyle w:val="NoSpacing"/>
      </w:pPr>
      <w:r>
        <w:rPr>
          <w:noProof/>
          <w:lang w:val="en-US"/>
        </w:rPr>
        <w:drawing>
          <wp:inline distT="0" distB="0" distL="0" distR="0" wp14:anchorId="0F2F0862" wp14:editId="24363129">
            <wp:extent cx="4572000" cy="2743200"/>
            <wp:effectExtent l="0" t="0" r="19050" b="19050"/>
            <wp:docPr id="35" name="Chart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EF7A6B" w:rsidRDefault="00EF7A6B" w:rsidP="00D26D9E">
      <w:pPr>
        <w:pStyle w:val="NoSpacing"/>
      </w:pPr>
    </w:p>
    <w:p w:rsidR="0069486A" w:rsidRDefault="0069486A" w:rsidP="00D26D9E">
      <w:pPr>
        <w:pStyle w:val="NoSpacing"/>
      </w:pPr>
      <w:r>
        <w:rPr>
          <w:noProof/>
          <w:lang w:val="en-US"/>
        </w:rPr>
        <w:drawing>
          <wp:inline distT="0" distB="0" distL="0" distR="0" wp14:anchorId="62319305" wp14:editId="56539B44">
            <wp:extent cx="4572000" cy="2743200"/>
            <wp:effectExtent l="0" t="0" r="19050" b="19050"/>
            <wp:docPr id="38" name="Chart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69486A" w:rsidRDefault="0069486A" w:rsidP="00D26D9E">
      <w:pPr>
        <w:pStyle w:val="NoSpacing"/>
      </w:pPr>
    </w:p>
    <w:p w:rsidR="002E4633" w:rsidRDefault="002E4633">
      <w:pPr>
        <w:rPr>
          <w:rFonts w:ascii="Verdana" w:hAnsi="Verdana"/>
          <w:i/>
          <w:sz w:val="17"/>
          <w:lang w:val="en-GB"/>
        </w:rPr>
      </w:pPr>
      <w:r>
        <w:rPr>
          <w:i/>
        </w:rPr>
        <w:br w:type="page"/>
      </w:r>
    </w:p>
    <w:p w:rsidR="00D26D9E" w:rsidRPr="00D26D9E" w:rsidRDefault="00D26D9E" w:rsidP="00D26D9E">
      <w:pPr>
        <w:pStyle w:val="NoSpacing"/>
        <w:rPr>
          <w:i/>
        </w:rPr>
      </w:pPr>
      <w:r w:rsidRPr="00D26D9E">
        <w:rPr>
          <w:i/>
        </w:rPr>
        <w:lastRenderedPageBreak/>
        <w:t>Stover yield (kg/ha)</w:t>
      </w:r>
    </w:p>
    <w:tbl>
      <w:tblPr>
        <w:tblW w:w="5000" w:type="pct"/>
        <w:tblBorders>
          <w:top w:val="single" w:sz="4" w:space="0" w:color="auto"/>
          <w:bottom w:val="single" w:sz="4" w:space="0" w:color="auto"/>
        </w:tblBorders>
        <w:tblLook w:val="04A0" w:firstRow="1" w:lastRow="0" w:firstColumn="1" w:lastColumn="0" w:noHBand="0" w:noVBand="1"/>
      </w:tblPr>
      <w:tblGrid>
        <w:gridCol w:w="1383"/>
        <w:gridCol w:w="916"/>
        <w:gridCol w:w="746"/>
        <w:gridCol w:w="657"/>
        <w:gridCol w:w="1136"/>
        <w:gridCol w:w="1394"/>
        <w:gridCol w:w="649"/>
        <w:gridCol w:w="931"/>
        <w:gridCol w:w="894"/>
        <w:gridCol w:w="916"/>
      </w:tblGrid>
      <w:tr w:rsidR="00D26D9E" w:rsidRPr="002464DF" w:rsidTr="00EF7A6B">
        <w:trPr>
          <w:trHeight w:val="300"/>
        </w:trPr>
        <w:tc>
          <w:tcPr>
            <w:tcW w:w="720" w:type="pct"/>
            <w:tcBorders>
              <w:top w:val="single" w:sz="4" w:space="0" w:color="auto"/>
              <w:bottom w:val="single" w:sz="4" w:space="0" w:color="auto"/>
            </w:tcBorders>
            <w:vAlign w:val="bottom"/>
          </w:tcPr>
          <w:p w:rsidR="00D26D9E" w:rsidRPr="002464DF" w:rsidRDefault="00D26D9E" w:rsidP="00EF7A6B">
            <w:pPr>
              <w:pStyle w:val="NoSpacing"/>
              <w:jc w:val="center"/>
            </w:pPr>
          </w:p>
        </w:tc>
        <w:tc>
          <w:tcPr>
            <w:tcW w:w="476" w:type="pct"/>
            <w:tcBorders>
              <w:top w:val="single" w:sz="4" w:space="0" w:color="auto"/>
              <w:bottom w:val="single" w:sz="4" w:space="0" w:color="auto"/>
            </w:tcBorders>
            <w:shd w:val="clear" w:color="auto" w:fill="auto"/>
            <w:noWrap/>
            <w:vAlign w:val="bottom"/>
            <w:hideMark/>
          </w:tcPr>
          <w:p w:rsidR="00D26D9E" w:rsidRPr="002464DF" w:rsidRDefault="00D26D9E" w:rsidP="00EF7A6B">
            <w:pPr>
              <w:pStyle w:val="NoSpacing"/>
              <w:jc w:val="center"/>
            </w:pPr>
          </w:p>
        </w:tc>
        <w:tc>
          <w:tcPr>
            <w:tcW w:w="389" w:type="pct"/>
            <w:tcBorders>
              <w:top w:val="single" w:sz="4" w:space="0" w:color="auto"/>
              <w:bottom w:val="single" w:sz="4" w:space="0" w:color="auto"/>
            </w:tcBorders>
            <w:shd w:val="clear" w:color="auto" w:fill="auto"/>
            <w:noWrap/>
            <w:vAlign w:val="bottom"/>
            <w:hideMark/>
          </w:tcPr>
          <w:p w:rsidR="00D26D9E" w:rsidRPr="002464DF" w:rsidRDefault="00D26D9E" w:rsidP="00EF7A6B">
            <w:pPr>
              <w:pStyle w:val="NoSpacing"/>
              <w:jc w:val="center"/>
            </w:pPr>
            <w:r>
              <w:t>None</w:t>
            </w:r>
          </w:p>
        </w:tc>
        <w:tc>
          <w:tcPr>
            <w:tcW w:w="343" w:type="pct"/>
            <w:tcBorders>
              <w:top w:val="single" w:sz="4" w:space="0" w:color="auto"/>
              <w:bottom w:val="single" w:sz="4" w:space="0" w:color="auto"/>
            </w:tcBorders>
            <w:shd w:val="clear" w:color="auto" w:fill="auto"/>
            <w:noWrap/>
            <w:vAlign w:val="bottom"/>
            <w:hideMark/>
          </w:tcPr>
          <w:p w:rsidR="00D26D9E" w:rsidRPr="002464DF" w:rsidRDefault="00D26D9E" w:rsidP="00EF7A6B">
            <w:pPr>
              <w:pStyle w:val="NoSpacing"/>
              <w:jc w:val="center"/>
            </w:pPr>
            <w:r w:rsidRPr="002464DF">
              <w:t>DAP</w:t>
            </w:r>
          </w:p>
        </w:tc>
        <w:tc>
          <w:tcPr>
            <w:tcW w:w="592" w:type="pct"/>
            <w:tcBorders>
              <w:top w:val="single" w:sz="4" w:space="0" w:color="auto"/>
              <w:bottom w:val="single" w:sz="4" w:space="0" w:color="auto"/>
            </w:tcBorders>
            <w:shd w:val="clear" w:color="auto" w:fill="auto"/>
            <w:noWrap/>
            <w:vAlign w:val="bottom"/>
            <w:hideMark/>
          </w:tcPr>
          <w:p w:rsidR="00D26D9E" w:rsidRPr="002464DF" w:rsidRDefault="00D26D9E" w:rsidP="00EF7A6B">
            <w:pPr>
              <w:pStyle w:val="NoSpacing"/>
              <w:jc w:val="center"/>
            </w:pPr>
            <w:r w:rsidRPr="002464DF">
              <w:t>MRP-DUST</w:t>
            </w:r>
          </w:p>
        </w:tc>
        <w:tc>
          <w:tcPr>
            <w:tcW w:w="724" w:type="pct"/>
            <w:tcBorders>
              <w:top w:val="single" w:sz="4" w:space="0" w:color="auto"/>
              <w:bottom w:val="single" w:sz="4" w:space="0" w:color="auto"/>
            </w:tcBorders>
            <w:shd w:val="clear" w:color="auto" w:fill="auto"/>
            <w:noWrap/>
            <w:vAlign w:val="bottom"/>
            <w:hideMark/>
          </w:tcPr>
          <w:p w:rsidR="00D26D9E" w:rsidRPr="002464DF" w:rsidRDefault="00D26D9E" w:rsidP="00EF7A6B">
            <w:pPr>
              <w:pStyle w:val="NoSpacing"/>
              <w:jc w:val="center"/>
            </w:pPr>
            <w:r w:rsidRPr="002464DF">
              <w:t>MRP-PALLETS</w:t>
            </w:r>
          </w:p>
        </w:tc>
        <w:tc>
          <w:tcPr>
            <w:tcW w:w="330" w:type="pct"/>
            <w:tcBorders>
              <w:top w:val="single" w:sz="4" w:space="0" w:color="auto"/>
              <w:bottom w:val="single" w:sz="4" w:space="0" w:color="auto"/>
            </w:tcBorders>
            <w:shd w:val="clear" w:color="auto" w:fill="auto"/>
            <w:noWrap/>
            <w:vAlign w:val="bottom"/>
            <w:hideMark/>
          </w:tcPr>
          <w:p w:rsidR="00D26D9E" w:rsidRPr="002464DF" w:rsidRDefault="00D26D9E" w:rsidP="00EF7A6B">
            <w:pPr>
              <w:pStyle w:val="NoSpacing"/>
              <w:jc w:val="center"/>
            </w:pPr>
            <w:r w:rsidRPr="002464DF">
              <w:t>TSP</w:t>
            </w:r>
          </w:p>
        </w:tc>
        <w:tc>
          <w:tcPr>
            <w:tcW w:w="485" w:type="pct"/>
            <w:tcBorders>
              <w:top w:val="single" w:sz="4" w:space="0" w:color="auto"/>
              <w:bottom w:val="single" w:sz="4" w:space="0" w:color="auto"/>
            </w:tcBorders>
            <w:shd w:val="clear" w:color="auto" w:fill="auto"/>
            <w:noWrap/>
            <w:vAlign w:val="bottom"/>
            <w:hideMark/>
          </w:tcPr>
          <w:p w:rsidR="00D26D9E" w:rsidRPr="002464DF" w:rsidRDefault="00D26D9E" w:rsidP="00EF7A6B">
            <w:pPr>
              <w:pStyle w:val="NoSpacing"/>
              <w:jc w:val="center"/>
            </w:pPr>
            <w:r w:rsidRPr="002464DF">
              <w:t>TSP/</w:t>
            </w:r>
            <w:proofErr w:type="spellStart"/>
            <w:r w:rsidRPr="002464DF">
              <w:t>KC</w:t>
            </w:r>
            <w:r>
              <w:t>l</w:t>
            </w:r>
            <w:proofErr w:type="spellEnd"/>
          </w:p>
        </w:tc>
        <w:tc>
          <w:tcPr>
            <w:tcW w:w="465" w:type="pct"/>
            <w:tcBorders>
              <w:top w:val="single" w:sz="4" w:space="0" w:color="auto"/>
              <w:bottom w:val="single" w:sz="4" w:space="0" w:color="auto"/>
            </w:tcBorders>
            <w:shd w:val="clear" w:color="auto" w:fill="auto"/>
            <w:noWrap/>
            <w:vAlign w:val="bottom"/>
            <w:hideMark/>
          </w:tcPr>
          <w:p w:rsidR="00D26D9E" w:rsidRPr="002464DF" w:rsidRDefault="00D26D9E" w:rsidP="00EF7A6B">
            <w:pPr>
              <w:pStyle w:val="NoSpacing"/>
              <w:jc w:val="center"/>
            </w:pPr>
            <w:r w:rsidRPr="002464DF">
              <w:t>SYMPAL</w:t>
            </w:r>
          </w:p>
        </w:tc>
        <w:tc>
          <w:tcPr>
            <w:tcW w:w="476" w:type="pct"/>
            <w:tcBorders>
              <w:top w:val="single" w:sz="4" w:space="0" w:color="auto"/>
              <w:bottom w:val="single" w:sz="4" w:space="0" w:color="auto"/>
            </w:tcBorders>
            <w:shd w:val="clear" w:color="auto" w:fill="auto"/>
            <w:noWrap/>
            <w:vAlign w:val="bottom"/>
            <w:hideMark/>
          </w:tcPr>
          <w:p w:rsidR="00D26D9E" w:rsidRPr="002464DF" w:rsidRDefault="00D26D9E" w:rsidP="00EF7A6B">
            <w:pPr>
              <w:pStyle w:val="NoSpacing"/>
              <w:jc w:val="center"/>
            </w:pPr>
            <w:r w:rsidRPr="002464DF">
              <w:t>Average</w:t>
            </w:r>
          </w:p>
        </w:tc>
      </w:tr>
      <w:tr w:rsidR="00EF7A6B" w:rsidRPr="002464DF" w:rsidTr="000D000C">
        <w:trPr>
          <w:trHeight w:val="300"/>
        </w:trPr>
        <w:tc>
          <w:tcPr>
            <w:tcW w:w="721" w:type="pct"/>
            <w:vMerge w:val="restart"/>
            <w:tcBorders>
              <w:top w:val="single" w:sz="4" w:space="0" w:color="auto"/>
            </w:tcBorders>
            <w:vAlign w:val="center"/>
          </w:tcPr>
          <w:p w:rsidR="00EF7A6B" w:rsidRPr="002464DF" w:rsidRDefault="00EF7A6B" w:rsidP="000D000C">
            <w:pPr>
              <w:pStyle w:val="NoSpacing"/>
            </w:pPr>
            <w:r>
              <w:t>Without lime</w:t>
            </w:r>
          </w:p>
        </w:tc>
        <w:tc>
          <w:tcPr>
            <w:tcW w:w="476" w:type="pct"/>
            <w:tcBorders>
              <w:top w:val="single" w:sz="4" w:space="0" w:color="auto"/>
            </w:tcBorders>
            <w:shd w:val="clear" w:color="auto" w:fill="auto"/>
            <w:noWrap/>
            <w:vAlign w:val="bottom"/>
            <w:hideMark/>
          </w:tcPr>
          <w:p w:rsidR="00EF7A6B" w:rsidRPr="002464DF" w:rsidRDefault="00EF7A6B" w:rsidP="000D000C">
            <w:pPr>
              <w:pStyle w:val="NoSpacing"/>
            </w:pPr>
            <w:r w:rsidRPr="002464DF">
              <w:t xml:space="preserve">- </w:t>
            </w:r>
            <w:proofErr w:type="spellStart"/>
            <w:r w:rsidRPr="002464DF">
              <w:t>inoc</w:t>
            </w:r>
            <w:proofErr w:type="spellEnd"/>
          </w:p>
        </w:tc>
        <w:tc>
          <w:tcPr>
            <w:tcW w:w="389" w:type="pct"/>
            <w:tcBorders>
              <w:top w:val="single" w:sz="4" w:space="0" w:color="auto"/>
            </w:tcBorders>
            <w:shd w:val="clear" w:color="auto" w:fill="auto"/>
            <w:noWrap/>
            <w:vAlign w:val="bottom"/>
          </w:tcPr>
          <w:p w:rsidR="00EF7A6B" w:rsidRDefault="00EF7A6B" w:rsidP="00EF7A6B">
            <w:pPr>
              <w:pStyle w:val="NoSpacing"/>
              <w:jc w:val="center"/>
            </w:pPr>
            <w:r>
              <w:t>1367</w:t>
            </w:r>
          </w:p>
        </w:tc>
        <w:tc>
          <w:tcPr>
            <w:tcW w:w="343" w:type="pct"/>
            <w:tcBorders>
              <w:top w:val="single" w:sz="4" w:space="0" w:color="auto"/>
            </w:tcBorders>
            <w:shd w:val="clear" w:color="auto" w:fill="auto"/>
            <w:noWrap/>
            <w:vAlign w:val="bottom"/>
          </w:tcPr>
          <w:p w:rsidR="00EF7A6B" w:rsidRDefault="00EF7A6B" w:rsidP="00EF7A6B">
            <w:pPr>
              <w:pStyle w:val="NoSpacing"/>
              <w:jc w:val="center"/>
            </w:pPr>
            <w:r>
              <w:t>1577</w:t>
            </w:r>
          </w:p>
        </w:tc>
        <w:tc>
          <w:tcPr>
            <w:tcW w:w="592" w:type="pct"/>
            <w:tcBorders>
              <w:top w:val="single" w:sz="4" w:space="0" w:color="auto"/>
            </w:tcBorders>
            <w:shd w:val="clear" w:color="auto" w:fill="auto"/>
            <w:noWrap/>
            <w:vAlign w:val="bottom"/>
          </w:tcPr>
          <w:p w:rsidR="00EF7A6B" w:rsidRDefault="00EF7A6B" w:rsidP="00EF7A6B">
            <w:pPr>
              <w:pStyle w:val="NoSpacing"/>
              <w:jc w:val="center"/>
            </w:pPr>
            <w:r>
              <w:t>1463</w:t>
            </w:r>
          </w:p>
        </w:tc>
        <w:tc>
          <w:tcPr>
            <w:tcW w:w="724" w:type="pct"/>
            <w:tcBorders>
              <w:top w:val="single" w:sz="4" w:space="0" w:color="auto"/>
            </w:tcBorders>
            <w:shd w:val="clear" w:color="auto" w:fill="auto"/>
            <w:noWrap/>
            <w:vAlign w:val="bottom"/>
          </w:tcPr>
          <w:p w:rsidR="00EF7A6B" w:rsidRDefault="00EF7A6B" w:rsidP="00EF7A6B">
            <w:pPr>
              <w:pStyle w:val="NoSpacing"/>
              <w:jc w:val="center"/>
            </w:pPr>
            <w:r>
              <w:t>1441</w:t>
            </w:r>
          </w:p>
        </w:tc>
        <w:tc>
          <w:tcPr>
            <w:tcW w:w="330" w:type="pct"/>
            <w:tcBorders>
              <w:top w:val="single" w:sz="4" w:space="0" w:color="auto"/>
            </w:tcBorders>
            <w:shd w:val="clear" w:color="auto" w:fill="auto"/>
            <w:noWrap/>
            <w:vAlign w:val="bottom"/>
          </w:tcPr>
          <w:p w:rsidR="00EF7A6B" w:rsidRDefault="00EF7A6B" w:rsidP="00EF7A6B">
            <w:pPr>
              <w:pStyle w:val="NoSpacing"/>
              <w:jc w:val="center"/>
            </w:pPr>
            <w:r>
              <w:t>1565</w:t>
            </w:r>
          </w:p>
        </w:tc>
        <w:tc>
          <w:tcPr>
            <w:tcW w:w="485" w:type="pct"/>
            <w:tcBorders>
              <w:top w:val="single" w:sz="4" w:space="0" w:color="auto"/>
            </w:tcBorders>
            <w:shd w:val="clear" w:color="auto" w:fill="auto"/>
            <w:noWrap/>
            <w:vAlign w:val="bottom"/>
          </w:tcPr>
          <w:p w:rsidR="00EF7A6B" w:rsidRDefault="00EF7A6B" w:rsidP="00EF7A6B">
            <w:pPr>
              <w:pStyle w:val="NoSpacing"/>
              <w:jc w:val="center"/>
            </w:pPr>
            <w:r>
              <w:t>1570</w:t>
            </w:r>
          </w:p>
        </w:tc>
        <w:tc>
          <w:tcPr>
            <w:tcW w:w="465" w:type="pct"/>
            <w:tcBorders>
              <w:top w:val="single" w:sz="4" w:space="0" w:color="auto"/>
            </w:tcBorders>
            <w:shd w:val="clear" w:color="auto" w:fill="auto"/>
            <w:noWrap/>
            <w:vAlign w:val="bottom"/>
          </w:tcPr>
          <w:p w:rsidR="00EF7A6B" w:rsidRDefault="00EF7A6B" w:rsidP="00EF7A6B">
            <w:pPr>
              <w:pStyle w:val="NoSpacing"/>
              <w:jc w:val="center"/>
            </w:pPr>
            <w:r>
              <w:t>1573</w:t>
            </w:r>
          </w:p>
        </w:tc>
        <w:tc>
          <w:tcPr>
            <w:tcW w:w="476" w:type="pct"/>
            <w:tcBorders>
              <w:top w:val="single" w:sz="4" w:space="0" w:color="auto"/>
            </w:tcBorders>
            <w:shd w:val="clear" w:color="auto" w:fill="auto"/>
            <w:noWrap/>
            <w:vAlign w:val="bottom"/>
          </w:tcPr>
          <w:p w:rsidR="00EF7A6B" w:rsidRDefault="00EF7A6B" w:rsidP="00EF7A6B">
            <w:pPr>
              <w:pStyle w:val="NoSpacing"/>
              <w:jc w:val="center"/>
            </w:pPr>
            <w:r>
              <w:t>1508</w:t>
            </w:r>
          </w:p>
        </w:tc>
      </w:tr>
      <w:tr w:rsidR="00EF7A6B" w:rsidRPr="002464DF" w:rsidTr="00EF7A6B">
        <w:trPr>
          <w:trHeight w:val="300"/>
        </w:trPr>
        <w:tc>
          <w:tcPr>
            <w:tcW w:w="720" w:type="pct"/>
            <w:vMerge/>
            <w:vAlign w:val="center"/>
          </w:tcPr>
          <w:p w:rsidR="00EF7A6B" w:rsidRPr="002464DF" w:rsidRDefault="00EF7A6B" w:rsidP="000D000C">
            <w:pPr>
              <w:pStyle w:val="NoSpacing"/>
            </w:pPr>
          </w:p>
        </w:tc>
        <w:tc>
          <w:tcPr>
            <w:tcW w:w="476" w:type="pct"/>
            <w:shd w:val="clear" w:color="auto" w:fill="auto"/>
            <w:noWrap/>
            <w:vAlign w:val="bottom"/>
            <w:hideMark/>
          </w:tcPr>
          <w:p w:rsidR="00EF7A6B" w:rsidRPr="002464DF" w:rsidRDefault="00EF7A6B" w:rsidP="000D000C">
            <w:pPr>
              <w:pStyle w:val="NoSpacing"/>
            </w:pPr>
            <w:r w:rsidRPr="002464DF">
              <w:t xml:space="preserve">+ </w:t>
            </w:r>
            <w:proofErr w:type="spellStart"/>
            <w:r w:rsidRPr="002464DF">
              <w:t>inoc</w:t>
            </w:r>
            <w:proofErr w:type="spellEnd"/>
          </w:p>
        </w:tc>
        <w:tc>
          <w:tcPr>
            <w:tcW w:w="389" w:type="pct"/>
            <w:shd w:val="clear" w:color="auto" w:fill="auto"/>
            <w:noWrap/>
            <w:vAlign w:val="bottom"/>
          </w:tcPr>
          <w:p w:rsidR="00EF7A6B" w:rsidRDefault="00EF7A6B" w:rsidP="00EF7A6B">
            <w:pPr>
              <w:pStyle w:val="NoSpacing"/>
              <w:jc w:val="center"/>
            </w:pPr>
            <w:r>
              <w:t>1264</w:t>
            </w:r>
          </w:p>
        </w:tc>
        <w:tc>
          <w:tcPr>
            <w:tcW w:w="343" w:type="pct"/>
            <w:shd w:val="clear" w:color="auto" w:fill="auto"/>
            <w:noWrap/>
            <w:vAlign w:val="bottom"/>
          </w:tcPr>
          <w:p w:rsidR="00EF7A6B" w:rsidRDefault="00EF7A6B" w:rsidP="00EF7A6B">
            <w:pPr>
              <w:pStyle w:val="NoSpacing"/>
              <w:jc w:val="center"/>
            </w:pPr>
            <w:r>
              <w:t>1340</w:t>
            </w:r>
          </w:p>
        </w:tc>
        <w:tc>
          <w:tcPr>
            <w:tcW w:w="592" w:type="pct"/>
            <w:shd w:val="clear" w:color="auto" w:fill="auto"/>
            <w:noWrap/>
            <w:vAlign w:val="bottom"/>
          </w:tcPr>
          <w:p w:rsidR="00EF7A6B" w:rsidRDefault="00EF7A6B" w:rsidP="00EF7A6B">
            <w:pPr>
              <w:pStyle w:val="NoSpacing"/>
              <w:jc w:val="center"/>
            </w:pPr>
            <w:r>
              <w:t>1754</w:t>
            </w:r>
          </w:p>
        </w:tc>
        <w:tc>
          <w:tcPr>
            <w:tcW w:w="724" w:type="pct"/>
            <w:shd w:val="clear" w:color="auto" w:fill="auto"/>
            <w:noWrap/>
            <w:vAlign w:val="bottom"/>
          </w:tcPr>
          <w:p w:rsidR="00EF7A6B" w:rsidRDefault="00EF7A6B" w:rsidP="00EF7A6B">
            <w:pPr>
              <w:pStyle w:val="NoSpacing"/>
              <w:jc w:val="center"/>
            </w:pPr>
            <w:r>
              <w:t>1679</w:t>
            </w:r>
          </w:p>
        </w:tc>
        <w:tc>
          <w:tcPr>
            <w:tcW w:w="330" w:type="pct"/>
            <w:shd w:val="clear" w:color="auto" w:fill="auto"/>
            <w:noWrap/>
            <w:vAlign w:val="bottom"/>
          </w:tcPr>
          <w:p w:rsidR="00EF7A6B" w:rsidRDefault="00EF7A6B" w:rsidP="00EF7A6B">
            <w:pPr>
              <w:pStyle w:val="NoSpacing"/>
              <w:jc w:val="center"/>
            </w:pPr>
            <w:r>
              <w:t>1593</w:t>
            </w:r>
          </w:p>
        </w:tc>
        <w:tc>
          <w:tcPr>
            <w:tcW w:w="485" w:type="pct"/>
            <w:shd w:val="clear" w:color="auto" w:fill="auto"/>
            <w:noWrap/>
            <w:vAlign w:val="bottom"/>
          </w:tcPr>
          <w:p w:rsidR="00EF7A6B" w:rsidRDefault="00EF7A6B" w:rsidP="00EF7A6B">
            <w:pPr>
              <w:pStyle w:val="NoSpacing"/>
              <w:jc w:val="center"/>
            </w:pPr>
            <w:r>
              <w:t>1957</w:t>
            </w:r>
          </w:p>
        </w:tc>
        <w:tc>
          <w:tcPr>
            <w:tcW w:w="465" w:type="pct"/>
            <w:shd w:val="clear" w:color="auto" w:fill="auto"/>
            <w:noWrap/>
            <w:vAlign w:val="bottom"/>
          </w:tcPr>
          <w:p w:rsidR="00EF7A6B" w:rsidRDefault="00EF7A6B" w:rsidP="00EF7A6B">
            <w:pPr>
              <w:pStyle w:val="NoSpacing"/>
              <w:jc w:val="center"/>
            </w:pPr>
            <w:r>
              <w:t>1234</w:t>
            </w:r>
          </w:p>
        </w:tc>
        <w:tc>
          <w:tcPr>
            <w:tcW w:w="476" w:type="pct"/>
            <w:shd w:val="clear" w:color="auto" w:fill="auto"/>
            <w:noWrap/>
            <w:vAlign w:val="bottom"/>
          </w:tcPr>
          <w:p w:rsidR="00EF7A6B" w:rsidRDefault="00EF7A6B" w:rsidP="00EF7A6B">
            <w:pPr>
              <w:pStyle w:val="NoSpacing"/>
              <w:jc w:val="center"/>
            </w:pPr>
            <w:r>
              <w:t>1546</w:t>
            </w:r>
          </w:p>
        </w:tc>
      </w:tr>
      <w:tr w:rsidR="00EF7A6B" w:rsidRPr="002464DF" w:rsidTr="00EF7A6B">
        <w:trPr>
          <w:trHeight w:val="300"/>
        </w:trPr>
        <w:tc>
          <w:tcPr>
            <w:tcW w:w="720" w:type="pct"/>
            <w:vMerge w:val="restart"/>
            <w:vAlign w:val="center"/>
          </w:tcPr>
          <w:p w:rsidR="00EF7A6B" w:rsidRPr="002464DF" w:rsidRDefault="00EF7A6B" w:rsidP="000D000C">
            <w:pPr>
              <w:pStyle w:val="NoSpacing"/>
            </w:pPr>
            <w:r>
              <w:t>With lime</w:t>
            </w:r>
          </w:p>
        </w:tc>
        <w:tc>
          <w:tcPr>
            <w:tcW w:w="476" w:type="pct"/>
            <w:shd w:val="clear" w:color="auto" w:fill="auto"/>
            <w:noWrap/>
            <w:vAlign w:val="bottom"/>
            <w:hideMark/>
          </w:tcPr>
          <w:p w:rsidR="00EF7A6B" w:rsidRPr="002464DF" w:rsidRDefault="00EF7A6B" w:rsidP="000D000C">
            <w:pPr>
              <w:pStyle w:val="NoSpacing"/>
            </w:pPr>
            <w:r w:rsidRPr="002464DF">
              <w:t xml:space="preserve">- </w:t>
            </w:r>
            <w:proofErr w:type="spellStart"/>
            <w:r w:rsidRPr="002464DF">
              <w:t>inoc</w:t>
            </w:r>
            <w:proofErr w:type="spellEnd"/>
          </w:p>
        </w:tc>
        <w:tc>
          <w:tcPr>
            <w:tcW w:w="389" w:type="pct"/>
            <w:shd w:val="clear" w:color="auto" w:fill="auto"/>
            <w:noWrap/>
            <w:vAlign w:val="bottom"/>
          </w:tcPr>
          <w:p w:rsidR="00EF7A6B" w:rsidRDefault="00EF7A6B" w:rsidP="00EF7A6B">
            <w:pPr>
              <w:pStyle w:val="NoSpacing"/>
              <w:jc w:val="center"/>
            </w:pPr>
            <w:r>
              <w:t>1132</w:t>
            </w:r>
          </w:p>
        </w:tc>
        <w:tc>
          <w:tcPr>
            <w:tcW w:w="343" w:type="pct"/>
            <w:shd w:val="clear" w:color="auto" w:fill="auto"/>
            <w:noWrap/>
            <w:vAlign w:val="bottom"/>
          </w:tcPr>
          <w:p w:rsidR="00EF7A6B" w:rsidRDefault="00EF7A6B" w:rsidP="00EF7A6B">
            <w:pPr>
              <w:pStyle w:val="NoSpacing"/>
              <w:jc w:val="center"/>
            </w:pPr>
            <w:r>
              <w:t>1396</w:t>
            </w:r>
          </w:p>
        </w:tc>
        <w:tc>
          <w:tcPr>
            <w:tcW w:w="592" w:type="pct"/>
            <w:shd w:val="clear" w:color="auto" w:fill="auto"/>
            <w:noWrap/>
            <w:vAlign w:val="bottom"/>
          </w:tcPr>
          <w:p w:rsidR="00EF7A6B" w:rsidRDefault="00EF7A6B" w:rsidP="00EF7A6B">
            <w:pPr>
              <w:pStyle w:val="NoSpacing"/>
              <w:jc w:val="center"/>
            </w:pPr>
            <w:r>
              <w:t>959</w:t>
            </w:r>
          </w:p>
        </w:tc>
        <w:tc>
          <w:tcPr>
            <w:tcW w:w="724" w:type="pct"/>
            <w:shd w:val="clear" w:color="auto" w:fill="auto"/>
            <w:noWrap/>
            <w:vAlign w:val="bottom"/>
          </w:tcPr>
          <w:p w:rsidR="00EF7A6B" w:rsidRDefault="00EF7A6B" w:rsidP="00EF7A6B">
            <w:pPr>
              <w:pStyle w:val="NoSpacing"/>
              <w:jc w:val="center"/>
            </w:pPr>
            <w:r>
              <w:t>1222</w:t>
            </w:r>
          </w:p>
        </w:tc>
        <w:tc>
          <w:tcPr>
            <w:tcW w:w="330" w:type="pct"/>
            <w:shd w:val="clear" w:color="auto" w:fill="auto"/>
            <w:noWrap/>
            <w:vAlign w:val="bottom"/>
          </w:tcPr>
          <w:p w:rsidR="00EF7A6B" w:rsidRDefault="00EF7A6B" w:rsidP="00EF7A6B">
            <w:pPr>
              <w:pStyle w:val="NoSpacing"/>
              <w:jc w:val="center"/>
            </w:pPr>
            <w:r>
              <w:t>1491</w:t>
            </w:r>
          </w:p>
        </w:tc>
        <w:tc>
          <w:tcPr>
            <w:tcW w:w="485" w:type="pct"/>
            <w:shd w:val="clear" w:color="auto" w:fill="auto"/>
            <w:noWrap/>
            <w:vAlign w:val="bottom"/>
          </w:tcPr>
          <w:p w:rsidR="00EF7A6B" w:rsidRDefault="00EF7A6B" w:rsidP="00EF7A6B">
            <w:pPr>
              <w:pStyle w:val="NoSpacing"/>
              <w:jc w:val="center"/>
            </w:pPr>
            <w:r>
              <w:t>1045</w:t>
            </w:r>
          </w:p>
        </w:tc>
        <w:tc>
          <w:tcPr>
            <w:tcW w:w="465" w:type="pct"/>
            <w:shd w:val="clear" w:color="auto" w:fill="auto"/>
            <w:noWrap/>
            <w:vAlign w:val="bottom"/>
          </w:tcPr>
          <w:p w:rsidR="00EF7A6B" w:rsidRDefault="00EF7A6B" w:rsidP="00EF7A6B">
            <w:pPr>
              <w:pStyle w:val="NoSpacing"/>
              <w:jc w:val="center"/>
            </w:pPr>
            <w:r>
              <w:t>1408</w:t>
            </w:r>
          </w:p>
        </w:tc>
        <w:tc>
          <w:tcPr>
            <w:tcW w:w="476" w:type="pct"/>
            <w:shd w:val="clear" w:color="auto" w:fill="auto"/>
            <w:noWrap/>
            <w:vAlign w:val="bottom"/>
          </w:tcPr>
          <w:p w:rsidR="00EF7A6B" w:rsidRDefault="00EF7A6B" w:rsidP="00EF7A6B">
            <w:pPr>
              <w:pStyle w:val="NoSpacing"/>
              <w:jc w:val="center"/>
            </w:pPr>
            <w:r>
              <w:t>1236</w:t>
            </w:r>
          </w:p>
        </w:tc>
      </w:tr>
      <w:tr w:rsidR="00EF7A6B" w:rsidRPr="002464DF" w:rsidTr="00EF7A6B">
        <w:trPr>
          <w:trHeight w:val="300"/>
        </w:trPr>
        <w:tc>
          <w:tcPr>
            <w:tcW w:w="720" w:type="pct"/>
            <w:vMerge/>
            <w:tcBorders>
              <w:bottom w:val="single" w:sz="4" w:space="0" w:color="auto"/>
            </w:tcBorders>
            <w:vAlign w:val="bottom"/>
          </w:tcPr>
          <w:p w:rsidR="00EF7A6B" w:rsidRPr="002464DF" w:rsidRDefault="00EF7A6B" w:rsidP="000D000C">
            <w:pPr>
              <w:pStyle w:val="NoSpacing"/>
            </w:pPr>
          </w:p>
        </w:tc>
        <w:tc>
          <w:tcPr>
            <w:tcW w:w="476" w:type="pct"/>
            <w:tcBorders>
              <w:bottom w:val="single" w:sz="4" w:space="0" w:color="auto"/>
            </w:tcBorders>
            <w:shd w:val="clear" w:color="auto" w:fill="auto"/>
            <w:noWrap/>
            <w:vAlign w:val="bottom"/>
            <w:hideMark/>
          </w:tcPr>
          <w:p w:rsidR="00EF7A6B" w:rsidRPr="002464DF" w:rsidRDefault="00EF7A6B" w:rsidP="000D000C">
            <w:pPr>
              <w:pStyle w:val="NoSpacing"/>
            </w:pPr>
            <w:r w:rsidRPr="002464DF">
              <w:t xml:space="preserve">+ </w:t>
            </w:r>
            <w:proofErr w:type="spellStart"/>
            <w:r w:rsidRPr="002464DF">
              <w:t>inoc</w:t>
            </w:r>
            <w:proofErr w:type="spellEnd"/>
          </w:p>
        </w:tc>
        <w:tc>
          <w:tcPr>
            <w:tcW w:w="389" w:type="pct"/>
            <w:tcBorders>
              <w:bottom w:val="single" w:sz="4" w:space="0" w:color="auto"/>
            </w:tcBorders>
            <w:shd w:val="clear" w:color="auto" w:fill="auto"/>
            <w:noWrap/>
            <w:vAlign w:val="bottom"/>
          </w:tcPr>
          <w:p w:rsidR="00EF7A6B" w:rsidRDefault="00EF7A6B" w:rsidP="00EF7A6B">
            <w:pPr>
              <w:pStyle w:val="NoSpacing"/>
              <w:jc w:val="center"/>
            </w:pPr>
            <w:r>
              <w:t>1025</w:t>
            </w:r>
          </w:p>
        </w:tc>
        <w:tc>
          <w:tcPr>
            <w:tcW w:w="343" w:type="pct"/>
            <w:tcBorders>
              <w:bottom w:val="single" w:sz="4" w:space="0" w:color="auto"/>
            </w:tcBorders>
            <w:shd w:val="clear" w:color="auto" w:fill="auto"/>
            <w:noWrap/>
            <w:vAlign w:val="bottom"/>
          </w:tcPr>
          <w:p w:rsidR="00EF7A6B" w:rsidRDefault="00EF7A6B" w:rsidP="00EF7A6B">
            <w:pPr>
              <w:pStyle w:val="NoSpacing"/>
              <w:jc w:val="center"/>
            </w:pPr>
            <w:r>
              <w:t>1063</w:t>
            </w:r>
          </w:p>
        </w:tc>
        <w:tc>
          <w:tcPr>
            <w:tcW w:w="592" w:type="pct"/>
            <w:tcBorders>
              <w:bottom w:val="single" w:sz="4" w:space="0" w:color="auto"/>
            </w:tcBorders>
            <w:shd w:val="clear" w:color="auto" w:fill="auto"/>
            <w:noWrap/>
            <w:vAlign w:val="bottom"/>
          </w:tcPr>
          <w:p w:rsidR="00EF7A6B" w:rsidRDefault="00EF7A6B" w:rsidP="00EF7A6B">
            <w:pPr>
              <w:pStyle w:val="NoSpacing"/>
              <w:jc w:val="center"/>
            </w:pPr>
            <w:r>
              <w:t>1499</w:t>
            </w:r>
          </w:p>
        </w:tc>
        <w:tc>
          <w:tcPr>
            <w:tcW w:w="724" w:type="pct"/>
            <w:tcBorders>
              <w:bottom w:val="single" w:sz="4" w:space="0" w:color="auto"/>
            </w:tcBorders>
            <w:shd w:val="clear" w:color="auto" w:fill="auto"/>
            <w:noWrap/>
            <w:vAlign w:val="bottom"/>
          </w:tcPr>
          <w:p w:rsidR="00EF7A6B" w:rsidRDefault="00EF7A6B" w:rsidP="00EF7A6B">
            <w:pPr>
              <w:pStyle w:val="NoSpacing"/>
              <w:jc w:val="center"/>
            </w:pPr>
            <w:r>
              <w:t>1430</w:t>
            </w:r>
          </w:p>
        </w:tc>
        <w:tc>
          <w:tcPr>
            <w:tcW w:w="330" w:type="pct"/>
            <w:tcBorders>
              <w:bottom w:val="single" w:sz="4" w:space="0" w:color="auto"/>
            </w:tcBorders>
            <w:shd w:val="clear" w:color="auto" w:fill="auto"/>
            <w:noWrap/>
            <w:vAlign w:val="bottom"/>
          </w:tcPr>
          <w:p w:rsidR="00EF7A6B" w:rsidRDefault="00EF7A6B" w:rsidP="00EF7A6B">
            <w:pPr>
              <w:pStyle w:val="NoSpacing"/>
              <w:jc w:val="center"/>
            </w:pPr>
            <w:r>
              <w:t>1142</w:t>
            </w:r>
          </w:p>
        </w:tc>
        <w:tc>
          <w:tcPr>
            <w:tcW w:w="485" w:type="pct"/>
            <w:tcBorders>
              <w:bottom w:val="single" w:sz="4" w:space="0" w:color="auto"/>
            </w:tcBorders>
            <w:shd w:val="clear" w:color="auto" w:fill="auto"/>
            <w:noWrap/>
            <w:vAlign w:val="bottom"/>
          </w:tcPr>
          <w:p w:rsidR="00EF7A6B" w:rsidRDefault="00EF7A6B" w:rsidP="00EF7A6B">
            <w:pPr>
              <w:pStyle w:val="NoSpacing"/>
              <w:jc w:val="center"/>
            </w:pPr>
            <w:r>
              <w:t>1258</w:t>
            </w:r>
          </w:p>
        </w:tc>
        <w:tc>
          <w:tcPr>
            <w:tcW w:w="465" w:type="pct"/>
            <w:tcBorders>
              <w:bottom w:val="single" w:sz="4" w:space="0" w:color="auto"/>
            </w:tcBorders>
            <w:shd w:val="clear" w:color="auto" w:fill="auto"/>
            <w:noWrap/>
            <w:vAlign w:val="bottom"/>
          </w:tcPr>
          <w:p w:rsidR="00EF7A6B" w:rsidRDefault="00EF7A6B" w:rsidP="00EF7A6B">
            <w:pPr>
              <w:pStyle w:val="NoSpacing"/>
              <w:jc w:val="center"/>
            </w:pPr>
            <w:r>
              <w:t>1050</w:t>
            </w:r>
          </w:p>
        </w:tc>
        <w:tc>
          <w:tcPr>
            <w:tcW w:w="476" w:type="pct"/>
            <w:tcBorders>
              <w:bottom w:val="single" w:sz="4" w:space="0" w:color="auto"/>
            </w:tcBorders>
            <w:shd w:val="clear" w:color="auto" w:fill="auto"/>
            <w:noWrap/>
            <w:vAlign w:val="bottom"/>
          </w:tcPr>
          <w:p w:rsidR="00EF7A6B" w:rsidRDefault="00EF7A6B" w:rsidP="00EF7A6B">
            <w:pPr>
              <w:pStyle w:val="NoSpacing"/>
              <w:jc w:val="center"/>
            </w:pPr>
            <w:r>
              <w:t>1209</w:t>
            </w:r>
          </w:p>
        </w:tc>
      </w:tr>
      <w:tr w:rsidR="00EF7A6B" w:rsidRPr="002464DF" w:rsidTr="00EF7A6B">
        <w:trPr>
          <w:trHeight w:val="300"/>
        </w:trPr>
        <w:tc>
          <w:tcPr>
            <w:tcW w:w="720" w:type="pct"/>
            <w:tcBorders>
              <w:top w:val="single" w:sz="4" w:space="0" w:color="auto"/>
              <w:bottom w:val="single" w:sz="4" w:space="0" w:color="auto"/>
            </w:tcBorders>
            <w:vAlign w:val="bottom"/>
          </w:tcPr>
          <w:p w:rsidR="00EF7A6B" w:rsidRPr="002464DF" w:rsidRDefault="00EF7A6B" w:rsidP="000D000C">
            <w:pPr>
              <w:pStyle w:val="NoSpacing"/>
            </w:pPr>
          </w:p>
        </w:tc>
        <w:tc>
          <w:tcPr>
            <w:tcW w:w="476" w:type="pct"/>
            <w:tcBorders>
              <w:top w:val="single" w:sz="4" w:space="0" w:color="auto"/>
              <w:bottom w:val="single" w:sz="4" w:space="0" w:color="auto"/>
            </w:tcBorders>
            <w:shd w:val="clear" w:color="auto" w:fill="auto"/>
            <w:noWrap/>
            <w:vAlign w:val="bottom"/>
            <w:hideMark/>
          </w:tcPr>
          <w:p w:rsidR="00EF7A6B" w:rsidRPr="002464DF" w:rsidRDefault="00EF7A6B" w:rsidP="000D000C">
            <w:pPr>
              <w:pStyle w:val="NoSpacing"/>
            </w:pPr>
            <w:r>
              <w:t>A</w:t>
            </w:r>
            <w:r w:rsidRPr="002464DF">
              <w:t>verage</w:t>
            </w:r>
          </w:p>
        </w:tc>
        <w:tc>
          <w:tcPr>
            <w:tcW w:w="389" w:type="pct"/>
            <w:tcBorders>
              <w:top w:val="single" w:sz="4" w:space="0" w:color="auto"/>
              <w:bottom w:val="single" w:sz="4" w:space="0" w:color="auto"/>
            </w:tcBorders>
            <w:shd w:val="clear" w:color="auto" w:fill="auto"/>
            <w:noWrap/>
            <w:vAlign w:val="bottom"/>
          </w:tcPr>
          <w:p w:rsidR="00EF7A6B" w:rsidRDefault="00EF7A6B" w:rsidP="00EF7A6B">
            <w:pPr>
              <w:pStyle w:val="NoSpacing"/>
              <w:jc w:val="center"/>
            </w:pPr>
            <w:r>
              <w:t>1197</w:t>
            </w:r>
          </w:p>
        </w:tc>
        <w:tc>
          <w:tcPr>
            <w:tcW w:w="343" w:type="pct"/>
            <w:tcBorders>
              <w:top w:val="single" w:sz="4" w:space="0" w:color="auto"/>
              <w:bottom w:val="single" w:sz="4" w:space="0" w:color="auto"/>
            </w:tcBorders>
            <w:shd w:val="clear" w:color="auto" w:fill="auto"/>
            <w:noWrap/>
            <w:vAlign w:val="bottom"/>
          </w:tcPr>
          <w:p w:rsidR="00EF7A6B" w:rsidRDefault="00EF7A6B" w:rsidP="00EF7A6B">
            <w:pPr>
              <w:pStyle w:val="NoSpacing"/>
              <w:jc w:val="center"/>
            </w:pPr>
            <w:r>
              <w:t>1344</w:t>
            </w:r>
          </w:p>
        </w:tc>
        <w:tc>
          <w:tcPr>
            <w:tcW w:w="592" w:type="pct"/>
            <w:tcBorders>
              <w:top w:val="single" w:sz="4" w:space="0" w:color="auto"/>
              <w:bottom w:val="single" w:sz="4" w:space="0" w:color="auto"/>
            </w:tcBorders>
            <w:shd w:val="clear" w:color="auto" w:fill="auto"/>
            <w:noWrap/>
            <w:vAlign w:val="bottom"/>
          </w:tcPr>
          <w:p w:rsidR="00EF7A6B" w:rsidRDefault="00EF7A6B" w:rsidP="00EF7A6B">
            <w:pPr>
              <w:pStyle w:val="NoSpacing"/>
              <w:jc w:val="center"/>
            </w:pPr>
            <w:r>
              <w:t>1419</w:t>
            </w:r>
          </w:p>
        </w:tc>
        <w:tc>
          <w:tcPr>
            <w:tcW w:w="724" w:type="pct"/>
            <w:tcBorders>
              <w:top w:val="single" w:sz="4" w:space="0" w:color="auto"/>
              <w:bottom w:val="single" w:sz="4" w:space="0" w:color="auto"/>
            </w:tcBorders>
            <w:shd w:val="clear" w:color="auto" w:fill="auto"/>
            <w:noWrap/>
            <w:vAlign w:val="bottom"/>
          </w:tcPr>
          <w:p w:rsidR="00EF7A6B" w:rsidRDefault="00EF7A6B" w:rsidP="00EF7A6B">
            <w:pPr>
              <w:pStyle w:val="NoSpacing"/>
              <w:jc w:val="center"/>
            </w:pPr>
            <w:r>
              <w:t>1443</w:t>
            </w:r>
          </w:p>
        </w:tc>
        <w:tc>
          <w:tcPr>
            <w:tcW w:w="330" w:type="pct"/>
            <w:tcBorders>
              <w:top w:val="single" w:sz="4" w:space="0" w:color="auto"/>
              <w:bottom w:val="single" w:sz="4" w:space="0" w:color="auto"/>
            </w:tcBorders>
            <w:shd w:val="clear" w:color="auto" w:fill="auto"/>
            <w:noWrap/>
            <w:vAlign w:val="bottom"/>
          </w:tcPr>
          <w:p w:rsidR="00EF7A6B" w:rsidRDefault="00EF7A6B" w:rsidP="00EF7A6B">
            <w:pPr>
              <w:pStyle w:val="NoSpacing"/>
              <w:jc w:val="center"/>
            </w:pPr>
            <w:r>
              <w:t>1447</w:t>
            </w:r>
          </w:p>
        </w:tc>
        <w:tc>
          <w:tcPr>
            <w:tcW w:w="485" w:type="pct"/>
            <w:tcBorders>
              <w:top w:val="single" w:sz="4" w:space="0" w:color="auto"/>
              <w:bottom w:val="single" w:sz="4" w:space="0" w:color="auto"/>
            </w:tcBorders>
            <w:shd w:val="clear" w:color="auto" w:fill="auto"/>
            <w:noWrap/>
            <w:vAlign w:val="bottom"/>
          </w:tcPr>
          <w:p w:rsidR="00EF7A6B" w:rsidRDefault="00EF7A6B" w:rsidP="00EF7A6B">
            <w:pPr>
              <w:pStyle w:val="NoSpacing"/>
              <w:jc w:val="center"/>
            </w:pPr>
            <w:r>
              <w:t>1457</w:t>
            </w:r>
          </w:p>
        </w:tc>
        <w:tc>
          <w:tcPr>
            <w:tcW w:w="465" w:type="pct"/>
            <w:tcBorders>
              <w:top w:val="single" w:sz="4" w:space="0" w:color="auto"/>
              <w:bottom w:val="single" w:sz="4" w:space="0" w:color="auto"/>
            </w:tcBorders>
            <w:shd w:val="clear" w:color="auto" w:fill="auto"/>
            <w:noWrap/>
            <w:vAlign w:val="bottom"/>
          </w:tcPr>
          <w:p w:rsidR="00EF7A6B" w:rsidRDefault="00EF7A6B" w:rsidP="00EF7A6B">
            <w:pPr>
              <w:pStyle w:val="NoSpacing"/>
              <w:jc w:val="center"/>
            </w:pPr>
            <w:r>
              <w:t>1316</w:t>
            </w:r>
          </w:p>
        </w:tc>
        <w:tc>
          <w:tcPr>
            <w:tcW w:w="476" w:type="pct"/>
            <w:tcBorders>
              <w:top w:val="single" w:sz="4" w:space="0" w:color="auto"/>
              <w:bottom w:val="single" w:sz="4" w:space="0" w:color="auto"/>
            </w:tcBorders>
            <w:shd w:val="clear" w:color="auto" w:fill="auto"/>
            <w:noWrap/>
            <w:vAlign w:val="bottom"/>
          </w:tcPr>
          <w:p w:rsidR="00EF7A6B" w:rsidRDefault="00EF7A6B" w:rsidP="00EF7A6B">
            <w:pPr>
              <w:pStyle w:val="NoSpacing"/>
              <w:jc w:val="center"/>
            </w:pPr>
            <w:r>
              <w:t>1375</w:t>
            </w:r>
          </w:p>
        </w:tc>
      </w:tr>
    </w:tbl>
    <w:p w:rsidR="00D26D9E" w:rsidRDefault="00D26D9E" w:rsidP="00544CED">
      <w:pPr>
        <w:pStyle w:val="NoSpacing"/>
      </w:pPr>
    </w:p>
    <w:p w:rsidR="009C42C4" w:rsidRDefault="00040F19" w:rsidP="00544CED">
      <w:pPr>
        <w:pStyle w:val="NoSpacing"/>
      </w:pPr>
      <w:r>
        <w:rPr>
          <w:noProof/>
          <w:lang w:val="en-US"/>
        </w:rPr>
        <w:drawing>
          <wp:inline distT="0" distB="0" distL="0" distR="0" wp14:anchorId="5082ED08" wp14:editId="389CF8E1">
            <wp:extent cx="4572000" cy="2743200"/>
            <wp:effectExtent l="0" t="0" r="19050" b="19050"/>
            <wp:docPr id="43" name="Chart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9C42C4" w:rsidRDefault="009C42C4" w:rsidP="00544CED">
      <w:pPr>
        <w:pStyle w:val="NoSpacing"/>
      </w:pPr>
    </w:p>
    <w:p w:rsidR="0069486A" w:rsidRDefault="00040F19" w:rsidP="00544CED">
      <w:pPr>
        <w:pStyle w:val="NoSpacing"/>
      </w:pPr>
      <w:r>
        <w:rPr>
          <w:noProof/>
          <w:lang w:val="en-US"/>
        </w:rPr>
        <w:drawing>
          <wp:inline distT="0" distB="0" distL="0" distR="0" wp14:anchorId="35ED82C5" wp14:editId="6E2A8954">
            <wp:extent cx="4572000" cy="2743200"/>
            <wp:effectExtent l="0" t="0" r="19050" b="19050"/>
            <wp:docPr id="44" name="Chart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EF7A6B" w:rsidRDefault="00EF7A6B">
      <w:pPr>
        <w:rPr>
          <w:rFonts w:ascii="Verdana" w:hAnsi="Verdana"/>
          <w:b/>
          <w:i/>
          <w:sz w:val="17"/>
          <w:lang w:val="en-GB"/>
        </w:rPr>
      </w:pPr>
      <w:r>
        <w:rPr>
          <w:b/>
          <w:i/>
        </w:rPr>
        <w:br w:type="page"/>
      </w:r>
    </w:p>
    <w:p w:rsidR="009C42C4" w:rsidRDefault="009C42C4" w:rsidP="00544CED">
      <w:pPr>
        <w:pStyle w:val="NoSpacing"/>
        <w:rPr>
          <w:b/>
          <w:i/>
        </w:rPr>
      </w:pPr>
      <w:r w:rsidRPr="009C42C4">
        <w:rPr>
          <w:b/>
          <w:i/>
        </w:rPr>
        <w:lastRenderedPageBreak/>
        <w:t>Climbing bean variety trial</w:t>
      </w:r>
    </w:p>
    <w:p w:rsidR="009C42C4" w:rsidRDefault="009C42C4" w:rsidP="00544CED">
      <w:pPr>
        <w:pStyle w:val="NoSpacing"/>
      </w:pPr>
    </w:p>
    <w:p w:rsidR="009C42C4" w:rsidRPr="00544CED" w:rsidRDefault="009C42C4" w:rsidP="009C42C4">
      <w:pPr>
        <w:pStyle w:val="NoSpacing"/>
      </w:pPr>
      <w:r w:rsidRPr="00544CED">
        <w:t xml:space="preserve">Location: </w:t>
      </w:r>
      <w:proofErr w:type="spellStart"/>
      <w:r>
        <w:t>Migori</w:t>
      </w:r>
      <w:proofErr w:type="spellEnd"/>
    </w:p>
    <w:p w:rsidR="009C42C4" w:rsidRPr="00035201" w:rsidRDefault="009C42C4" w:rsidP="00035201">
      <w:pPr>
        <w:pStyle w:val="NoSpacing"/>
      </w:pPr>
      <w:r w:rsidRPr="00544CED">
        <w:t xml:space="preserve">GPS: </w:t>
      </w:r>
      <w:r w:rsidRPr="009C42C4">
        <w:t>E</w:t>
      </w:r>
      <w:r w:rsidR="0079660C" w:rsidRPr="00035201">
        <w:t xml:space="preserve"> 34.57100</w:t>
      </w:r>
      <w:r w:rsidRPr="009C42C4">
        <w:t>; S</w:t>
      </w:r>
      <w:r w:rsidR="0079660C" w:rsidRPr="00035201">
        <w:t xml:space="preserve"> 1.012861</w:t>
      </w:r>
      <w:r w:rsidRPr="009C42C4">
        <w:t xml:space="preserve">; Elevation: 1464 m </w:t>
      </w:r>
    </w:p>
    <w:p w:rsidR="009C42C4" w:rsidRPr="00544CED" w:rsidRDefault="009C42C4" w:rsidP="009C42C4">
      <w:pPr>
        <w:pStyle w:val="NoSpacing"/>
      </w:pPr>
      <w:r w:rsidRPr="00544CED">
        <w:t xml:space="preserve">Planting date: </w:t>
      </w:r>
      <w:r>
        <w:t>30-9-2011</w:t>
      </w:r>
    </w:p>
    <w:p w:rsidR="009C42C4" w:rsidRPr="00544CED" w:rsidRDefault="009C42C4" w:rsidP="009C42C4">
      <w:pPr>
        <w:pStyle w:val="NoSpacing"/>
      </w:pPr>
      <w:r w:rsidRPr="00544CED">
        <w:t xml:space="preserve">Harvest date: </w:t>
      </w:r>
      <w:r>
        <w:t>27-1-2012</w:t>
      </w:r>
    </w:p>
    <w:p w:rsidR="009C42C4" w:rsidRPr="00544CED" w:rsidRDefault="009C42C4" w:rsidP="009C42C4">
      <w:pPr>
        <w:pStyle w:val="NoSpacing"/>
      </w:pPr>
      <w:r>
        <w:t>Fertilizer: TSP/</w:t>
      </w:r>
      <w:proofErr w:type="spellStart"/>
      <w:r>
        <w:t>KCl</w:t>
      </w:r>
      <w:proofErr w:type="spellEnd"/>
    </w:p>
    <w:p w:rsidR="009C42C4" w:rsidRPr="00544CED" w:rsidRDefault="009C42C4" w:rsidP="009C42C4">
      <w:pPr>
        <w:pStyle w:val="NoSpacing"/>
      </w:pPr>
    </w:p>
    <w:p w:rsidR="009C42C4" w:rsidRDefault="009C42C4" w:rsidP="009C42C4">
      <w:pPr>
        <w:pStyle w:val="NoSpacing"/>
      </w:pPr>
      <w:r w:rsidRPr="00544CED">
        <w:t>Remarks:</w:t>
      </w:r>
    </w:p>
    <w:p w:rsidR="00B76866" w:rsidRDefault="00022F02" w:rsidP="00022F02">
      <w:pPr>
        <w:pStyle w:val="NoSpacing"/>
      </w:pPr>
      <w:r>
        <w:t xml:space="preserve">Germination </w:t>
      </w:r>
      <w:r w:rsidR="00B76866">
        <w:t xml:space="preserve">for </w:t>
      </w:r>
      <w:r>
        <w:t xml:space="preserve">all varieties </w:t>
      </w:r>
      <w:r w:rsidR="00B76866">
        <w:t xml:space="preserve">was good; </w:t>
      </w:r>
      <w:r>
        <w:t xml:space="preserve">above 85%. Only variety Kenya </w:t>
      </w:r>
      <w:proofErr w:type="spellStart"/>
      <w:r>
        <w:t>Mavuno</w:t>
      </w:r>
      <w:proofErr w:type="spellEnd"/>
      <w:r>
        <w:t xml:space="preserve"> with inoculation </w:t>
      </w:r>
      <w:r w:rsidR="00B76866">
        <w:t xml:space="preserve">had a </w:t>
      </w:r>
      <w:r>
        <w:t xml:space="preserve">lower germination percentage of 75%. </w:t>
      </w:r>
      <w:r w:rsidR="00B76866">
        <w:t xml:space="preserve">The number of nodules of varieties Kenya </w:t>
      </w:r>
      <w:proofErr w:type="spellStart"/>
      <w:r w:rsidR="00B76866">
        <w:t>Mavuno</w:t>
      </w:r>
      <w:proofErr w:type="spellEnd"/>
      <w:r w:rsidR="00B76866">
        <w:t xml:space="preserve"> and MAC 49 increased after inoculation; the other varieties showed no response. Lower germination percentage of Kenya </w:t>
      </w:r>
      <w:proofErr w:type="spellStart"/>
      <w:r w:rsidR="00B76866">
        <w:t>Mavuno</w:t>
      </w:r>
      <w:proofErr w:type="spellEnd"/>
      <w:r w:rsidR="00B76866">
        <w:t xml:space="preserve"> could explain the lower grain and </w:t>
      </w:r>
      <w:proofErr w:type="spellStart"/>
      <w:r w:rsidR="00B76866">
        <w:t>stover</w:t>
      </w:r>
      <w:proofErr w:type="spellEnd"/>
      <w:r w:rsidR="00B76866">
        <w:t xml:space="preserve"> yields with inoculation, as</w:t>
      </w:r>
      <w:r w:rsidR="00AE13A9">
        <w:t xml:space="preserve"> the</w:t>
      </w:r>
      <w:r w:rsidR="00B76866">
        <w:t xml:space="preserve"> number of nodules </w:t>
      </w:r>
      <w:r w:rsidR="00AE13A9">
        <w:t xml:space="preserve">did </w:t>
      </w:r>
      <w:r w:rsidR="00B76866">
        <w:t>increase.</w:t>
      </w:r>
      <w:r w:rsidR="000C0205">
        <w:t xml:space="preserve"> Varieties RWV 51348 and </w:t>
      </w:r>
      <w:proofErr w:type="spellStart"/>
      <w:r w:rsidR="000C0205">
        <w:t>Umubano</w:t>
      </w:r>
      <w:proofErr w:type="spellEnd"/>
      <w:r w:rsidR="000C0205">
        <w:t xml:space="preserve"> had the highest average grain yields, with and without inoculation, togeth</w:t>
      </w:r>
      <w:r w:rsidR="00AE13A9">
        <w:t xml:space="preserve">er with variety Kenya </w:t>
      </w:r>
      <w:proofErr w:type="spellStart"/>
      <w:r w:rsidR="00AE13A9">
        <w:t>Tamu</w:t>
      </w:r>
      <w:proofErr w:type="spellEnd"/>
      <w:r w:rsidR="00AE13A9">
        <w:t xml:space="preserve"> when</w:t>
      </w:r>
      <w:r w:rsidR="000C0205">
        <w:t xml:space="preserve"> urea was applied. The same was found for </w:t>
      </w:r>
      <w:proofErr w:type="spellStart"/>
      <w:r w:rsidR="000C0205">
        <w:t>stover</w:t>
      </w:r>
      <w:proofErr w:type="spellEnd"/>
      <w:r w:rsidR="000C0205">
        <w:t xml:space="preserve"> yields, where the effect of application of urea with Kenya </w:t>
      </w:r>
      <w:proofErr w:type="spellStart"/>
      <w:r w:rsidR="000C0205">
        <w:t>Tamu</w:t>
      </w:r>
      <w:proofErr w:type="spellEnd"/>
      <w:r w:rsidR="000C0205">
        <w:t xml:space="preserve"> was even more pronounced. In general, both grain and </w:t>
      </w:r>
      <w:proofErr w:type="spellStart"/>
      <w:r w:rsidR="000C0205">
        <w:t>stover</w:t>
      </w:r>
      <w:proofErr w:type="spellEnd"/>
      <w:r w:rsidR="000C0205">
        <w:t xml:space="preserve"> yields did not show a response to inoculation. </w:t>
      </w:r>
    </w:p>
    <w:p w:rsidR="009C42C4" w:rsidRDefault="009C42C4" w:rsidP="00544CED">
      <w:pPr>
        <w:pStyle w:val="NoSpacing"/>
      </w:pPr>
    </w:p>
    <w:p w:rsidR="00AE13A9" w:rsidRDefault="00AE13A9" w:rsidP="00544CED">
      <w:pPr>
        <w:pStyle w:val="NoSpacing"/>
      </w:pPr>
    </w:p>
    <w:p w:rsidR="003B7B34" w:rsidRDefault="003B7B34" w:rsidP="00544CED">
      <w:pPr>
        <w:pStyle w:val="NoSpacing"/>
      </w:pPr>
      <w:r>
        <w:rPr>
          <w:noProof/>
          <w:lang w:val="en-US"/>
        </w:rPr>
        <w:drawing>
          <wp:inline distT="0" distB="0" distL="0" distR="0" wp14:anchorId="20059F39" wp14:editId="09BA20FA">
            <wp:extent cx="4572000" cy="2743200"/>
            <wp:effectExtent l="0" t="0" r="19050" b="1905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9C42C4" w:rsidRDefault="009C42C4" w:rsidP="00544CED">
      <w:pPr>
        <w:pStyle w:val="NoSpacing"/>
      </w:pPr>
    </w:p>
    <w:p w:rsidR="009C42C4" w:rsidRDefault="009C42C4" w:rsidP="00544CED">
      <w:pPr>
        <w:pStyle w:val="NoSpacing"/>
      </w:pPr>
      <w:r>
        <w:rPr>
          <w:noProof/>
          <w:lang w:val="en-US"/>
        </w:rPr>
        <w:drawing>
          <wp:inline distT="0" distB="0" distL="0" distR="0" wp14:anchorId="1BE6E4C9" wp14:editId="526B25CC">
            <wp:extent cx="4572000" cy="2743200"/>
            <wp:effectExtent l="0" t="0" r="19050" b="1905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9C42C4" w:rsidRDefault="009C42C4" w:rsidP="00544CED">
      <w:pPr>
        <w:pStyle w:val="NoSpacing"/>
      </w:pPr>
    </w:p>
    <w:p w:rsidR="009C42C4" w:rsidRDefault="009C42C4" w:rsidP="00544CED">
      <w:pPr>
        <w:pStyle w:val="NoSpacing"/>
      </w:pPr>
      <w:r>
        <w:rPr>
          <w:noProof/>
          <w:lang w:val="en-US"/>
        </w:rPr>
        <w:drawing>
          <wp:inline distT="0" distB="0" distL="0" distR="0" wp14:anchorId="22E4FDE1" wp14:editId="1A52C685">
            <wp:extent cx="4505325" cy="2743200"/>
            <wp:effectExtent l="0" t="0" r="9525" b="1905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521AA2" w:rsidRDefault="00521AA2" w:rsidP="00544CED">
      <w:pPr>
        <w:pStyle w:val="NoSpacing"/>
      </w:pPr>
    </w:p>
    <w:p w:rsidR="00F43489" w:rsidRDefault="00F43489">
      <w:pPr>
        <w:rPr>
          <w:rFonts w:ascii="Verdana" w:hAnsi="Verdana"/>
          <w:b/>
          <w:i/>
          <w:sz w:val="17"/>
          <w:lang w:val="en-GB"/>
        </w:rPr>
      </w:pPr>
      <w:r>
        <w:rPr>
          <w:b/>
          <w:i/>
        </w:rPr>
        <w:br w:type="page"/>
      </w:r>
    </w:p>
    <w:p w:rsidR="00364EE9" w:rsidRPr="00364EE9" w:rsidRDefault="00364EE9" w:rsidP="00544CED">
      <w:pPr>
        <w:pStyle w:val="NoSpacing"/>
        <w:rPr>
          <w:b/>
          <w:i/>
        </w:rPr>
      </w:pPr>
      <w:r w:rsidRPr="00364EE9">
        <w:rPr>
          <w:b/>
          <w:i/>
        </w:rPr>
        <w:lastRenderedPageBreak/>
        <w:t>Bush bean variety trial</w:t>
      </w:r>
    </w:p>
    <w:p w:rsidR="00521AA2" w:rsidRDefault="00521AA2" w:rsidP="00544CED">
      <w:pPr>
        <w:pStyle w:val="NoSpacing"/>
      </w:pPr>
    </w:p>
    <w:p w:rsidR="00364EE9" w:rsidRPr="00544CED" w:rsidRDefault="00364EE9" w:rsidP="00364EE9">
      <w:pPr>
        <w:pStyle w:val="NoSpacing"/>
      </w:pPr>
      <w:r w:rsidRPr="00544CED">
        <w:t xml:space="preserve">Location: </w:t>
      </w:r>
      <w:proofErr w:type="spellStart"/>
      <w:r>
        <w:t>Kakamega</w:t>
      </w:r>
      <w:proofErr w:type="spellEnd"/>
      <w:r>
        <w:t xml:space="preserve"> South</w:t>
      </w:r>
    </w:p>
    <w:p w:rsidR="00364EE9" w:rsidRPr="00364EE9" w:rsidRDefault="00364EE9" w:rsidP="00364EE9">
      <w:pPr>
        <w:pStyle w:val="NoSpacing"/>
      </w:pPr>
      <w:r w:rsidRPr="00544CED">
        <w:t>GPS:</w:t>
      </w:r>
      <w:r>
        <w:t xml:space="preserve"> E</w:t>
      </w:r>
      <w:r w:rsidR="00035201">
        <w:t xml:space="preserve"> </w:t>
      </w:r>
      <w:r w:rsidRPr="00364EE9">
        <w:t>34.66792; N</w:t>
      </w:r>
      <w:r w:rsidR="00035201">
        <w:t xml:space="preserve"> </w:t>
      </w:r>
      <w:r w:rsidRPr="00364EE9">
        <w:t>0.226694; Elevation: 1436 m</w:t>
      </w:r>
    </w:p>
    <w:p w:rsidR="00364EE9" w:rsidRPr="00544CED" w:rsidRDefault="00364EE9" w:rsidP="00364EE9">
      <w:pPr>
        <w:pStyle w:val="NoSpacing"/>
      </w:pPr>
      <w:r w:rsidRPr="00544CED">
        <w:t xml:space="preserve">Planting date: </w:t>
      </w:r>
      <w:r>
        <w:t>7-9-2011</w:t>
      </w:r>
    </w:p>
    <w:p w:rsidR="00364EE9" w:rsidRPr="00544CED" w:rsidRDefault="00364EE9" w:rsidP="00364EE9">
      <w:pPr>
        <w:pStyle w:val="NoSpacing"/>
      </w:pPr>
      <w:r w:rsidRPr="00544CED">
        <w:t xml:space="preserve">Harvest date: </w:t>
      </w:r>
      <w:r>
        <w:t>16-12-2011</w:t>
      </w:r>
    </w:p>
    <w:p w:rsidR="00364EE9" w:rsidRPr="00544CED" w:rsidRDefault="00364EE9" w:rsidP="00364EE9">
      <w:pPr>
        <w:pStyle w:val="NoSpacing"/>
      </w:pPr>
      <w:r>
        <w:t>Fertilizer: TSP/</w:t>
      </w:r>
      <w:proofErr w:type="spellStart"/>
      <w:r>
        <w:t>KCl</w:t>
      </w:r>
      <w:proofErr w:type="spellEnd"/>
    </w:p>
    <w:p w:rsidR="00364EE9" w:rsidRDefault="00364EE9" w:rsidP="00364EE9">
      <w:pPr>
        <w:pStyle w:val="NoSpacing"/>
      </w:pPr>
    </w:p>
    <w:p w:rsidR="00364EE9" w:rsidRDefault="00364EE9" w:rsidP="00364EE9">
      <w:pPr>
        <w:pStyle w:val="NoSpacing"/>
      </w:pPr>
      <w:r>
        <w:t xml:space="preserve">Remarks: </w:t>
      </w:r>
    </w:p>
    <w:p w:rsidR="00AB7529" w:rsidRDefault="000C0205" w:rsidP="00364EE9">
      <w:pPr>
        <w:pStyle w:val="NoSpacing"/>
      </w:pPr>
      <w:r>
        <w:t>Germination for all trea</w:t>
      </w:r>
      <w:r w:rsidR="00AE13A9">
        <w:t>tments was reasonably</w:t>
      </w:r>
      <w:r>
        <w:t xml:space="preserve"> high, around 80%. Only variety New </w:t>
      </w:r>
      <w:proofErr w:type="spellStart"/>
      <w:r>
        <w:t>Roscoco</w:t>
      </w:r>
      <w:proofErr w:type="spellEnd"/>
      <w:r w:rsidR="00AE13A9">
        <w:t xml:space="preserve"> had germination percentages of </w:t>
      </w:r>
      <w:r>
        <w:t>58% and 71% without and with inoculation respectively.</w:t>
      </w:r>
      <w:r w:rsidR="007A2117">
        <w:t xml:space="preserve"> </w:t>
      </w:r>
      <w:r w:rsidR="006117CE">
        <w:t xml:space="preserve">The number of nodules did not seem to increase with inoculation, only variety KK15 showed some response. </w:t>
      </w:r>
    </w:p>
    <w:p w:rsidR="006117CE" w:rsidRDefault="00AB7529" w:rsidP="00364EE9">
      <w:pPr>
        <w:pStyle w:val="NoSpacing"/>
      </w:pPr>
      <w:r>
        <w:t xml:space="preserve">Varieties </w:t>
      </w:r>
      <w:proofErr w:type="spellStart"/>
      <w:r>
        <w:t>Okwodho</w:t>
      </w:r>
      <w:proofErr w:type="spellEnd"/>
      <w:r>
        <w:t xml:space="preserve">, Kenya </w:t>
      </w:r>
      <w:proofErr w:type="spellStart"/>
      <w:r>
        <w:t>Umoja</w:t>
      </w:r>
      <w:proofErr w:type="spellEnd"/>
      <w:r>
        <w:t xml:space="preserve"> and KK15 had the highest grain and </w:t>
      </w:r>
      <w:proofErr w:type="spellStart"/>
      <w:r>
        <w:t>stover</w:t>
      </w:r>
      <w:proofErr w:type="spellEnd"/>
      <w:r>
        <w:t xml:space="preserve"> yields. Kenya </w:t>
      </w:r>
      <w:proofErr w:type="spellStart"/>
      <w:r>
        <w:t>Umoja</w:t>
      </w:r>
      <w:proofErr w:type="spellEnd"/>
      <w:r>
        <w:t xml:space="preserve"> did not benefit from inoculation, but grain yields increased considerably after application of urea. Only variety KK8 showed a good response to inoculation, in both grain and </w:t>
      </w:r>
      <w:proofErr w:type="spellStart"/>
      <w:r>
        <w:t>stover</w:t>
      </w:r>
      <w:proofErr w:type="spellEnd"/>
      <w:r>
        <w:t xml:space="preserve"> yield. Varieties New </w:t>
      </w:r>
      <w:proofErr w:type="spellStart"/>
      <w:r>
        <w:t>Roscoco</w:t>
      </w:r>
      <w:proofErr w:type="spellEnd"/>
      <w:r>
        <w:t xml:space="preserve">, KK071 and KK072 had very low yields, with and without inoculation. </w:t>
      </w:r>
    </w:p>
    <w:p w:rsidR="00364EE9" w:rsidRDefault="00364EE9" w:rsidP="00544CED">
      <w:pPr>
        <w:pStyle w:val="NoSpacing"/>
      </w:pPr>
    </w:p>
    <w:p w:rsidR="007A2117" w:rsidRDefault="007A2117" w:rsidP="00544CED">
      <w:pPr>
        <w:pStyle w:val="NoSpacing"/>
      </w:pPr>
    </w:p>
    <w:p w:rsidR="00364EE9" w:rsidRDefault="00364EE9" w:rsidP="00544CED">
      <w:pPr>
        <w:pStyle w:val="NoSpacing"/>
      </w:pPr>
      <w:r>
        <w:rPr>
          <w:noProof/>
          <w:lang w:val="en-US"/>
        </w:rPr>
        <w:drawing>
          <wp:inline distT="0" distB="0" distL="0" distR="0" wp14:anchorId="09AA6D50" wp14:editId="5B0EB2F5">
            <wp:extent cx="4572000" cy="2743200"/>
            <wp:effectExtent l="0" t="0" r="19050" b="19050"/>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364EE9" w:rsidRDefault="00364EE9" w:rsidP="00544CED">
      <w:pPr>
        <w:pStyle w:val="NoSpacing"/>
      </w:pPr>
    </w:p>
    <w:p w:rsidR="00364EE9" w:rsidRDefault="00364EE9" w:rsidP="00544CED">
      <w:pPr>
        <w:pStyle w:val="NoSpacing"/>
      </w:pPr>
      <w:r>
        <w:rPr>
          <w:noProof/>
          <w:lang w:val="en-US"/>
        </w:rPr>
        <w:drawing>
          <wp:inline distT="0" distB="0" distL="0" distR="0" wp14:anchorId="3A516D01" wp14:editId="18E73E09">
            <wp:extent cx="4572000" cy="2743200"/>
            <wp:effectExtent l="0" t="0" r="19050" b="19050"/>
            <wp:docPr id="32" name="Chart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364EE9" w:rsidRDefault="00364EE9" w:rsidP="00544CED">
      <w:pPr>
        <w:pStyle w:val="NoSpacing"/>
      </w:pPr>
    </w:p>
    <w:p w:rsidR="00364EE9" w:rsidRDefault="00364EE9" w:rsidP="00544CED">
      <w:pPr>
        <w:pStyle w:val="NoSpacing"/>
      </w:pPr>
      <w:r>
        <w:rPr>
          <w:noProof/>
          <w:lang w:val="en-US"/>
        </w:rPr>
        <w:lastRenderedPageBreak/>
        <w:drawing>
          <wp:inline distT="0" distB="0" distL="0" distR="0" wp14:anchorId="12CA1A57" wp14:editId="24014BA7">
            <wp:extent cx="4572000" cy="2743200"/>
            <wp:effectExtent l="0" t="0" r="19050" b="19050"/>
            <wp:docPr id="33" name="Chart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364EE9" w:rsidRDefault="00364EE9" w:rsidP="00544CED">
      <w:pPr>
        <w:pStyle w:val="NoSpacing"/>
      </w:pPr>
    </w:p>
    <w:p w:rsidR="00364EE9" w:rsidRDefault="00364EE9" w:rsidP="00544CED">
      <w:pPr>
        <w:pStyle w:val="NoSpacing"/>
      </w:pPr>
    </w:p>
    <w:p w:rsidR="00F43489" w:rsidRDefault="00F43489">
      <w:pPr>
        <w:rPr>
          <w:rFonts w:ascii="Verdana" w:hAnsi="Verdana"/>
          <w:b/>
          <w:i/>
          <w:sz w:val="17"/>
          <w:lang w:val="en-GB"/>
        </w:rPr>
      </w:pPr>
      <w:r>
        <w:rPr>
          <w:b/>
          <w:i/>
        </w:rPr>
        <w:br w:type="page"/>
      </w:r>
    </w:p>
    <w:p w:rsidR="00521AA2" w:rsidRPr="0079660C" w:rsidRDefault="00521AA2" w:rsidP="00544CED">
      <w:pPr>
        <w:pStyle w:val="NoSpacing"/>
        <w:rPr>
          <w:b/>
          <w:i/>
        </w:rPr>
      </w:pPr>
      <w:r w:rsidRPr="0079660C">
        <w:rPr>
          <w:b/>
          <w:i/>
        </w:rPr>
        <w:lastRenderedPageBreak/>
        <w:t>Soybean variety trial</w:t>
      </w:r>
    </w:p>
    <w:p w:rsidR="00521AA2" w:rsidRDefault="00521AA2" w:rsidP="00544CED">
      <w:pPr>
        <w:pStyle w:val="NoSpacing"/>
      </w:pPr>
    </w:p>
    <w:p w:rsidR="00521AA2" w:rsidRPr="00544CED" w:rsidRDefault="00521AA2" w:rsidP="00521AA2">
      <w:pPr>
        <w:pStyle w:val="NoSpacing"/>
      </w:pPr>
      <w:r w:rsidRPr="00544CED">
        <w:t xml:space="preserve">Location: </w:t>
      </w:r>
      <w:r>
        <w:t>Kisumu West</w:t>
      </w:r>
    </w:p>
    <w:p w:rsidR="00521AA2" w:rsidRPr="00364EE9" w:rsidRDefault="00521AA2" w:rsidP="00364EE9">
      <w:pPr>
        <w:pStyle w:val="NoSpacing"/>
      </w:pPr>
      <w:r w:rsidRPr="00544CED">
        <w:t>GPS:</w:t>
      </w:r>
      <w:r>
        <w:t xml:space="preserve"> </w:t>
      </w:r>
      <w:r w:rsidRPr="00521AA2">
        <w:t>E</w:t>
      </w:r>
      <w:r w:rsidR="0079660C" w:rsidRPr="00364EE9">
        <w:t xml:space="preserve"> 34.44394</w:t>
      </w:r>
      <w:r w:rsidRPr="00521AA2">
        <w:t>; S</w:t>
      </w:r>
      <w:r w:rsidR="0079660C" w:rsidRPr="00364EE9">
        <w:t xml:space="preserve"> 0.073444</w:t>
      </w:r>
      <w:r w:rsidRPr="00521AA2">
        <w:t>; Elevation: 1314 m</w:t>
      </w:r>
    </w:p>
    <w:p w:rsidR="00521AA2" w:rsidRPr="00544CED" w:rsidRDefault="00521AA2" w:rsidP="00521AA2">
      <w:pPr>
        <w:pStyle w:val="NoSpacing"/>
      </w:pPr>
      <w:r w:rsidRPr="00544CED">
        <w:t xml:space="preserve">Planting date: </w:t>
      </w:r>
      <w:r>
        <w:t>30-9-2011</w:t>
      </w:r>
    </w:p>
    <w:p w:rsidR="00521AA2" w:rsidRPr="00544CED" w:rsidRDefault="00521AA2" w:rsidP="00521AA2">
      <w:pPr>
        <w:pStyle w:val="NoSpacing"/>
      </w:pPr>
      <w:r w:rsidRPr="00544CED">
        <w:t xml:space="preserve">Harvest date: </w:t>
      </w:r>
      <w:r>
        <w:t>23-1-2012</w:t>
      </w:r>
    </w:p>
    <w:p w:rsidR="00521AA2" w:rsidRPr="00544CED" w:rsidRDefault="00521AA2" w:rsidP="00521AA2">
      <w:pPr>
        <w:pStyle w:val="NoSpacing"/>
      </w:pPr>
      <w:r>
        <w:t>Fertilizer: TSP/</w:t>
      </w:r>
      <w:proofErr w:type="spellStart"/>
      <w:r>
        <w:t>KCl</w:t>
      </w:r>
      <w:proofErr w:type="spellEnd"/>
    </w:p>
    <w:p w:rsidR="00521AA2" w:rsidRDefault="00521AA2" w:rsidP="00544CED">
      <w:pPr>
        <w:pStyle w:val="NoSpacing"/>
      </w:pPr>
    </w:p>
    <w:p w:rsidR="00521AA2" w:rsidRDefault="00521AA2" w:rsidP="00544CED">
      <w:pPr>
        <w:pStyle w:val="NoSpacing"/>
      </w:pPr>
      <w:r>
        <w:t xml:space="preserve">Remarks: </w:t>
      </w:r>
    </w:p>
    <w:p w:rsidR="007149DE" w:rsidRDefault="00521AA2" w:rsidP="00544CED">
      <w:pPr>
        <w:pStyle w:val="NoSpacing"/>
      </w:pPr>
      <w:r>
        <w:t xml:space="preserve">Germination for all treatments </w:t>
      </w:r>
      <w:r w:rsidR="007149DE">
        <w:t xml:space="preserve">was </w:t>
      </w:r>
      <w:r>
        <w:t>reasonable, between 75</w:t>
      </w:r>
      <w:r w:rsidR="007149DE">
        <w:t>%</w:t>
      </w:r>
      <w:r>
        <w:t xml:space="preserve"> and 85%. Only varie</w:t>
      </w:r>
      <w:r w:rsidR="007149DE">
        <w:t>ty Squire had lower germination percentages</w:t>
      </w:r>
      <w:r>
        <w:t xml:space="preserve"> of 70</w:t>
      </w:r>
      <w:r w:rsidR="007149DE">
        <w:t>%</w:t>
      </w:r>
      <w:r>
        <w:t xml:space="preserve"> without and 64% with inoculation. </w:t>
      </w:r>
      <w:r w:rsidR="007149DE">
        <w:t xml:space="preserve">The nodule scores of all varieties, except for variety EAI3600 increased considerably with inoculation. Application of urea on variety SB19 did not increase the nodule score for this variety. The same conclusion can be drawn for grain and </w:t>
      </w:r>
      <w:proofErr w:type="spellStart"/>
      <w:r w:rsidR="007149DE">
        <w:t>stover</w:t>
      </w:r>
      <w:proofErr w:type="spellEnd"/>
      <w:r w:rsidR="007149DE">
        <w:t xml:space="preserve"> yields, where again only variety EAI3600 showed no response to inoculation. Application of urea did not enhance grain yields so much for variety SB19, but </w:t>
      </w:r>
      <w:proofErr w:type="spellStart"/>
      <w:r w:rsidR="007149DE">
        <w:t>stover</w:t>
      </w:r>
      <w:proofErr w:type="spellEnd"/>
      <w:r w:rsidR="007149DE">
        <w:t xml:space="preserve"> yields were higher compared to </w:t>
      </w:r>
      <w:r w:rsidR="007A2117">
        <w:t xml:space="preserve">the treatment </w:t>
      </w:r>
      <w:r w:rsidR="007149DE">
        <w:t xml:space="preserve">with inoculation. </w:t>
      </w:r>
    </w:p>
    <w:p w:rsidR="007A2117" w:rsidRDefault="007A2117" w:rsidP="00544CED">
      <w:pPr>
        <w:pStyle w:val="NoSpacing"/>
      </w:pPr>
    </w:p>
    <w:p w:rsidR="00521AA2" w:rsidRDefault="00521AA2" w:rsidP="00544CED">
      <w:pPr>
        <w:pStyle w:val="NoSpacing"/>
      </w:pPr>
    </w:p>
    <w:p w:rsidR="00521AA2" w:rsidRDefault="00521AA2" w:rsidP="00544CED">
      <w:pPr>
        <w:pStyle w:val="NoSpacing"/>
      </w:pPr>
      <w:r>
        <w:rPr>
          <w:noProof/>
          <w:lang w:val="en-US"/>
        </w:rPr>
        <w:drawing>
          <wp:inline distT="0" distB="0" distL="0" distR="0" wp14:anchorId="1CD3432D" wp14:editId="7035C053">
            <wp:extent cx="4572000" cy="2743200"/>
            <wp:effectExtent l="0" t="0" r="19050" b="1905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7149DE" w:rsidRDefault="007149DE" w:rsidP="00544CED">
      <w:pPr>
        <w:pStyle w:val="NoSpacing"/>
      </w:pPr>
    </w:p>
    <w:p w:rsidR="00521AA2" w:rsidRDefault="00521AA2" w:rsidP="00544CED">
      <w:pPr>
        <w:pStyle w:val="NoSpacing"/>
      </w:pPr>
      <w:r>
        <w:rPr>
          <w:noProof/>
          <w:lang w:val="en-US"/>
        </w:rPr>
        <w:drawing>
          <wp:inline distT="0" distB="0" distL="0" distR="0" wp14:anchorId="381B3991" wp14:editId="42F842D6">
            <wp:extent cx="4572000" cy="2743200"/>
            <wp:effectExtent l="0" t="0" r="19050" b="1905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521AA2" w:rsidRDefault="00521AA2" w:rsidP="00544CED">
      <w:pPr>
        <w:pStyle w:val="NoSpacing"/>
      </w:pPr>
    </w:p>
    <w:p w:rsidR="00521AA2" w:rsidRDefault="00521AA2" w:rsidP="00544CED">
      <w:pPr>
        <w:pStyle w:val="NoSpacing"/>
      </w:pPr>
      <w:r>
        <w:rPr>
          <w:noProof/>
          <w:lang w:val="en-US"/>
        </w:rPr>
        <w:lastRenderedPageBreak/>
        <w:drawing>
          <wp:inline distT="0" distB="0" distL="0" distR="0" wp14:anchorId="1EACCEC4" wp14:editId="18B8F504">
            <wp:extent cx="4572000" cy="2743200"/>
            <wp:effectExtent l="0" t="0" r="19050" b="1905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0D000C" w:rsidRDefault="000D000C" w:rsidP="00544CED">
      <w:pPr>
        <w:pStyle w:val="NoSpacing"/>
      </w:pPr>
    </w:p>
    <w:p w:rsidR="000D000C" w:rsidRDefault="000D000C" w:rsidP="00544CED">
      <w:pPr>
        <w:pStyle w:val="NoSpacing"/>
      </w:pPr>
    </w:p>
    <w:p w:rsidR="00F43489" w:rsidRDefault="00F43489">
      <w:pPr>
        <w:rPr>
          <w:rFonts w:ascii="Verdana" w:hAnsi="Verdana"/>
          <w:b/>
          <w:i/>
          <w:sz w:val="17"/>
          <w:lang w:val="en-GB"/>
        </w:rPr>
      </w:pPr>
      <w:r>
        <w:rPr>
          <w:b/>
          <w:i/>
        </w:rPr>
        <w:br w:type="page"/>
      </w:r>
    </w:p>
    <w:p w:rsidR="000D000C" w:rsidRDefault="000D000C" w:rsidP="00544CED">
      <w:pPr>
        <w:pStyle w:val="NoSpacing"/>
        <w:rPr>
          <w:b/>
          <w:i/>
        </w:rPr>
      </w:pPr>
      <w:r w:rsidRPr="000D000C">
        <w:rPr>
          <w:b/>
          <w:i/>
        </w:rPr>
        <w:lastRenderedPageBreak/>
        <w:t>Soybean rust evaluation</w:t>
      </w:r>
    </w:p>
    <w:p w:rsidR="000D000C" w:rsidRDefault="000D000C" w:rsidP="00544CED">
      <w:pPr>
        <w:pStyle w:val="NoSpacing"/>
      </w:pPr>
    </w:p>
    <w:p w:rsidR="000D000C" w:rsidRPr="00544CED" w:rsidRDefault="000D000C" w:rsidP="000D000C">
      <w:pPr>
        <w:pStyle w:val="NoSpacing"/>
      </w:pPr>
      <w:r w:rsidRPr="00544CED">
        <w:t xml:space="preserve">Location: </w:t>
      </w:r>
      <w:proofErr w:type="spellStart"/>
      <w:r w:rsidR="004D1AE0">
        <w:t>Migori</w:t>
      </w:r>
      <w:proofErr w:type="spellEnd"/>
    </w:p>
    <w:p w:rsidR="000D000C" w:rsidRPr="00035201" w:rsidRDefault="000D000C" w:rsidP="00035201">
      <w:pPr>
        <w:pStyle w:val="NoSpacing"/>
      </w:pPr>
      <w:r w:rsidRPr="00544CED">
        <w:t>GPS:</w:t>
      </w:r>
      <w:r>
        <w:t xml:space="preserve"> </w:t>
      </w:r>
      <w:r w:rsidRPr="000D000C">
        <w:t>E</w:t>
      </w:r>
      <w:r w:rsidR="00F83C03" w:rsidRPr="00035201">
        <w:t xml:space="preserve"> 34.48247</w:t>
      </w:r>
      <w:r w:rsidRPr="000D000C">
        <w:t>; S</w:t>
      </w:r>
      <w:r w:rsidR="00F83C03" w:rsidRPr="00035201">
        <w:t xml:space="preserve"> 0.969917</w:t>
      </w:r>
      <w:r w:rsidRPr="000D000C">
        <w:t>; Elevation 1396 m</w:t>
      </w:r>
    </w:p>
    <w:p w:rsidR="000D000C" w:rsidRPr="00544CED" w:rsidRDefault="000D000C" w:rsidP="000D000C">
      <w:pPr>
        <w:pStyle w:val="NoSpacing"/>
      </w:pPr>
      <w:r w:rsidRPr="00544CED">
        <w:t xml:space="preserve">Planting date: </w:t>
      </w:r>
      <w:r w:rsidR="00EA0B85">
        <w:t>28-9-2011</w:t>
      </w:r>
    </w:p>
    <w:p w:rsidR="000D000C" w:rsidRPr="00544CED" w:rsidRDefault="000D000C" w:rsidP="000D000C">
      <w:pPr>
        <w:pStyle w:val="NoSpacing"/>
      </w:pPr>
      <w:r w:rsidRPr="00544CED">
        <w:t xml:space="preserve">Harvest date: </w:t>
      </w:r>
      <w:r w:rsidR="00EA0B85">
        <w:t>26-1, 27-1 and 23-2-2012</w:t>
      </w:r>
    </w:p>
    <w:p w:rsidR="000D000C" w:rsidRDefault="000D000C" w:rsidP="000D000C">
      <w:pPr>
        <w:pStyle w:val="NoSpacing"/>
      </w:pPr>
      <w:r>
        <w:t>Blanket application of: TSP/</w:t>
      </w:r>
      <w:proofErr w:type="spellStart"/>
      <w:r>
        <w:t>KCl</w:t>
      </w:r>
      <w:proofErr w:type="spellEnd"/>
      <w:r>
        <w:t>/Urea and inoculation</w:t>
      </w:r>
    </w:p>
    <w:p w:rsidR="000D000C" w:rsidRDefault="000D000C" w:rsidP="000D000C">
      <w:pPr>
        <w:pStyle w:val="NoSpacing"/>
      </w:pPr>
    </w:p>
    <w:p w:rsidR="000D000C" w:rsidRDefault="000D000C" w:rsidP="000D000C">
      <w:pPr>
        <w:pStyle w:val="NoSpacing"/>
      </w:pPr>
      <w:r>
        <w:t>Remarks:</w:t>
      </w:r>
    </w:p>
    <w:p w:rsidR="000D000C" w:rsidRDefault="001E290B" w:rsidP="00EA0B85">
      <w:pPr>
        <w:pStyle w:val="NoSpacing"/>
      </w:pPr>
      <w:r>
        <w:t xml:space="preserve">One of the </w:t>
      </w:r>
      <w:r w:rsidR="007A2117">
        <w:t xml:space="preserve">sprayed </w:t>
      </w:r>
      <w:r>
        <w:t xml:space="preserve">plots with variety </w:t>
      </w:r>
      <w:r w:rsidR="000D000C" w:rsidRPr="00EA0B85">
        <w:t xml:space="preserve">Samba was destroyed by </w:t>
      </w:r>
      <w:r w:rsidR="00EA0B85">
        <w:t>s</w:t>
      </w:r>
      <w:r w:rsidR="00EA0B85" w:rsidRPr="00EA0B85">
        <w:t>quirrels</w:t>
      </w:r>
      <w:r w:rsidR="00EA0B85">
        <w:t xml:space="preserve"> and </w:t>
      </w:r>
      <w:r w:rsidR="007A2117">
        <w:t xml:space="preserve">was </w:t>
      </w:r>
      <w:r w:rsidR="00EA0B85">
        <w:t>not analysed.</w:t>
      </w:r>
    </w:p>
    <w:p w:rsidR="001E290B" w:rsidRPr="00EA0B85" w:rsidRDefault="001E290B" w:rsidP="00EA0B85">
      <w:pPr>
        <w:pStyle w:val="NoSpacing"/>
      </w:pPr>
      <w:r>
        <w:t xml:space="preserve">Germination varied between 60% and 80%, </w:t>
      </w:r>
      <w:r w:rsidR="00DE7709">
        <w:t>where varieties Saga and Squire had the lowest averages</w:t>
      </w:r>
      <w:r w:rsidR="006058C1">
        <w:t xml:space="preserve"> of 62% and 60% respectively</w:t>
      </w:r>
      <w:r w:rsidR="00DE7709">
        <w:t>.</w:t>
      </w:r>
      <w:r>
        <w:t xml:space="preserve"> </w:t>
      </w:r>
      <w:r w:rsidR="006058C1">
        <w:t>Variety Sequel had a relatively high germination of on average 83%.</w:t>
      </w:r>
    </w:p>
    <w:p w:rsidR="004B7A55" w:rsidRDefault="004B7A55" w:rsidP="004B7A55">
      <w:pPr>
        <w:pStyle w:val="NoSpacing"/>
      </w:pPr>
      <w:r>
        <w:t xml:space="preserve">The rust score measured from 10 plants per plot was much higher without spraying for varieties </w:t>
      </w:r>
      <w:proofErr w:type="spellStart"/>
      <w:r>
        <w:t>Maksoy</w:t>
      </w:r>
      <w:proofErr w:type="spellEnd"/>
      <w:r>
        <w:t xml:space="preserve">, </w:t>
      </w:r>
      <w:proofErr w:type="spellStart"/>
      <w:r>
        <w:t>Namsoy</w:t>
      </w:r>
      <w:proofErr w:type="spellEnd"/>
      <w:r>
        <w:t xml:space="preserve"> and SB19. And even after spraying, their rust score was relatively high, which indicates a high susceptibility to rust.</w:t>
      </w:r>
      <w:r w:rsidR="007A2117">
        <w:t xml:space="preserve"> </w:t>
      </w:r>
      <w:r>
        <w:t xml:space="preserve">The number of nodules </w:t>
      </w:r>
      <w:r w:rsidR="007A2117">
        <w:t xml:space="preserve">was comparable for all varieties and treatments. </w:t>
      </w:r>
    </w:p>
    <w:p w:rsidR="00470D17" w:rsidRDefault="00470D17" w:rsidP="00470D17">
      <w:pPr>
        <w:pStyle w:val="NoSpacing"/>
      </w:pPr>
      <w:r>
        <w:t xml:space="preserve">Grain and </w:t>
      </w:r>
      <w:proofErr w:type="spellStart"/>
      <w:r>
        <w:t>stover</w:t>
      </w:r>
      <w:proofErr w:type="spellEnd"/>
      <w:r>
        <w:t xml:space="preserve"> yields did not benefit much from spraying against rust, although the varieties with the highest rust scores did show a slight increase in yield after spraying, </w:t>
      </w:r>
      <w:r w:rsidR="007A2117">
        <w:t>as well as</w:t>
      </w:r>
      <w:r>
        <w:t xml:space="preserve"> variety </w:t>
      </w:r>
      <w:proofErr w:type="spellStart"/>
      <w:r>
        <w:t>Nyala</w:t>
      </w:r>
      <w:proofErr w:type="spellEnd"/>
      <w:r>
        <w:t>.</w:t>
      </w:r>
    </w:p>
    <w:p w:rsidR="000D000C" w:rsidRPr="004B7A55" w:rsidRDefault="008D5C61" w:rsidP="000D000C">
      <w:pPr>
        <w:pStyle w:val="NoSpacing"/>
      </w:pPr>
      <w:r>
        <w:t xml:space="preserve">Most plots were harvested late January, but some also late February. Generally, this had a negative impact on grain yield, </w:t>
      </w:r>
      <w:r w:rsidR="007A2117">
        <w:t xml:space="preserve">which </w:t>
      </w:r>
      <w:r>
        <w:t>also explains the low grain yields of variety TGX1987-6F.</w:t>
      </w:r>
    </w:p>
    <w:p w:rsidR="000D000C" w:rsidRDefault="000D000C" w:rsidP="000D000C">
      <w:pPr>
        <w:pStyle w:val="NoSpacing"/>
      </w:pPr>
    </w:p>
    <w:p w:rsidR="007A2117" w:rsidRDefault="007A2117" w:rsidP="000D000C">
      <w:pPr>
        <w:pStyle w:val="NoSpacing"/>
      </w:pPr>
    </w:p>
    <w:p w:rsidR="000D000C" w:rsidRDefault="000D000C" w:rsidP="00544CED">
      <w:pPr>
        <w:pStyle w:val="NoSpacing"/>
      </w:pPr>
      <w:r>
        <w:rPr>
          <w:noProof/>
          <w:lang w:val="en-US"/>
        </w:rPr>
        <w:drawing>
          <wp:inline distT="0" distB="0" distL="0" distR="0" wp14:anchorId="5D367DBE" wp14:editId="4B7E9BA7">
            <wp:extent cx="4572000" cy="2743200"/>
            <wp:effectExtent l="0" t="0" r="19050" b="1905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0D000C" w:rsidRDefault="000D000C" w:rsidP="00544CED">
      <w:pPr>
        <w:pStyle w:val="NoSpacing"/>
      </w:pPr>
      <w:r>
        <w:rPr>
          <w:noProof/>
          <w:lang w:val="en-US"/>
        </w:rPr>
        <w:lastRenderedPageBreak/>
        <w:drawing>
          <wp:inline distT="0" distB="0" distL="0" distR="0" wp14:anchorId="41DA318B" wp14:editId="4E23555F">
            <wp:extent cx="4572000" cy="2743200"/>
            <wp:effectExtent l="0" t="0" r="19050" b="1905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F43489" w:rsidRDefault="00F43489" w:rsidP="00544CED">
      <w:pPr>
        <w:pStyle w:val="NoSpacing"/>
      </w:pPr>
    </w:p>
    <w:p w:rsidR="000D000C" w:rsidRDefault="000D000C" w:rsidP="00544CED">
      <w:pPr>
        <w:pStyle w:val="NoSpacing"/>
      </w:pPr>
      <w:r>
        <w:rPr>
          <w:noProof/>
          <w:lang w:val="en-US"/>
        </w:rPr>
        <w:drawing>
          <wp:inline distT="0" distB="0" distL="0" distR="0" wp14:anchorId="60CCA4D7" wp14:editId="1F5DC97D">
            <wp:extent cx="4572000" cy="2743200"/>
            <wp:effectExtent l="0" t="0" r="19050" b="1905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0D000C" w:rsidRDefault="000D000C" w:rsidP="00544CED">
      <w:pPr>
        <w:pStyle w:val="NoSpacing"/>
      </w:pPr>
    </w:p>
    <w:p w:rsidR="000D000C" w:rsidRDefault="000D000C" w:rsidP="00544CED">
      <w:pPr>
        <w:pStyle w:val="NoSpacing"/>
      </w:pPr>
      <w:r>
        <w:rPr>
          <w:noProof/>
          <w:lang w:val="en-US"/>
        </w:rPr>
        <w:lastRenderedPageBreak/>
        <w:drawing>
          <wp:inline distT="0" distB="0" distL="0" distR="0" wp14:anchorId="31992E0D" wp14:editId="797EDD14">
            <wp:extent cx="4572000" cy="2743200"/>
            <wp:effectExtent l="0" t="0" r="19050" b="1905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B8561E" w:rsidRDefault="00B8561E" w:rsidP="00544CED">
      <w:pPr>
        <w:pStyle w:val="NoSpacing"/>
      </w:pPr>
    </w:p>
    <w:p w:rsidR="00470D17" w:rsidRDefault="00470D17" w:rsidP="00544CED">
      <w:pPr>
        <w:pStyle w:val="NoSpacing"/>
      </w:pPr>
    </w:p>
    <w:p w:rsidR="00B8561E" w:rsidRPr="008D5C61" w:rsidRDefault="00B8561E" w:rsidP="00544CED">
      <w:pPr>
        <w:pStyle w:val="NoSpacing"/>
        <w:rPr>
          <w:i/>
        </w:rPr>
      </w:pPr>
      <w:r w:rsidRPr="008D5C61">
        <w:rPr>
          <w:i/>
        </w:rPr>
        <w:t>Effect</w:t>
      </w:r>
      <w:r w:rsidR="008D5C61" w:rsidRPr="008D5C61">
        <w:rPr>
          <w:i/>
        </w:rPr>
        <w:t xml:space="preserve"> of harvest date on grain yield</w:t>
      </w:r>
    </w:p>
    <w:tbl>
      <w:tblPr>
        <w:tblW w:w="5000" w:type="pct"/>
        <w:tblBorders>
          <w:top w:val="single" w:sz="4" w:space="0" w:color="auto"/>
          <w:bottom w:val="single" w:sz="4" w:space="0" w:color="auto"/>
        </w:tblBorders>
        <w:tblLook w:val="04A0" w:firstRow="1" w:lastRow="0" w:firstColumn="1" w:lastColumn="0" w:noHBand="0" w:noVBand="1"/>
      </w:tblPr>
      <w:tblGrid>
        <w:gridCol w:w="3207"/>
        <w:gridCol w:w="3207"/>
        <w:gridCol w:w="3208"/>
      </w:tblGrid>
      <w:tr w:rsidR="00B8561E" w:rsidRPr="00B8561E" w:rsidTr="007849BE">
        <w:trPr>
          <w:trHeight w:val="300"/>
        </w:trPr>
        <w:tc>
          <w:tcPr>
            <w:tcW w:w="1666" w:type="pct"/>
            <w:tcBorders>
              <w:top w:val="single" w:sz="4" w:space="0" w:color="auto"/>
              <w:bottom w:val="single" w:sz="4" w:space="0" w:color="auto"/>
            </w:tcBorders>
            <w:shd w:val="clear" w:color="auto" w:fill="auto"/>
            <w:noWrap/>
            <w:vAlign w:val="bottom"/>
            <w:hideMark/>
          </w:tcPr>
          <w:p w:rsidR="00B8561E" w:rsidRPr="00B8561E" w:rsidRDefault="00B8561E" w:rsidP="00B8561E">
            <w:pPr>
              <w:pStyle w:val="NoSpacing"/>
            </w:pPr>
          </w:p>
        </w:tc>
        <w:tc>
          <w:tcPr>
            <w:tcW w:w="1666" w:type="pct"/>
            <w:tcBorders>
              <w:top w:val="single" w:sz="4" w:space="0" w:color="auto"/>
              <w:bottom w:val="single" w:sz="4" w:space="0" w:color="auto"/>
            </w:tcBorders>
            <w:shd w:val="clear" w:color="auto" w:fill="auto"/>
            <w:noWrap/>
            <w:vAlign w:val="bottom"/>
            <w:hideMark/>
          </w:tcPr>
          <w:p w:rsidR="00B8561E" w:rsidRPr="00B8561E" w:rsidRDefault="00B8561E" w:rsidP="00B8561E">
            <w:pPr>
              <w:pStyle w:val="NoSpacing"/>
              <w:jc w:val="center"/>
            </w:pPr>
            <w:r>
              <w:t xml:space="preserve">Harvest late </w:t>
            </w:r>
            <w:r w:rsidRPr="00B8561E">
              <w:t>January</w:t>
            </w:r>
          </w:p>
        </w:tc>
        <w:tc>
          <w:tcPr>
            <w:tcW w:w="1667" w:type="pct"/>
            <w:tcBorders>
              <w:top w:val="single" w:sz="4" w:space="0" w:color="auto"/>
              <w:bottom w:val="single" w:sz="4" w:space="0" w:color="auto"/>
            </w:tcBorders>
            <w:shd w:val="clear" w:color="auto" w:fill="auto"/>
            <w:noWrap/>
            <w:vAlign w:val="bottom"/>
            <w:hideMark/>
          </w:tcPr>
          <w:p w:rsidR="00B8561E" w:rsidRPr="00B8561E" w:rsidRDefault="00B8561E" w:rsidP="00B8561E">
            <w:pPr>
              <w:pStyle w:val="NoSpacing"/>
              <w:jc w:val="center"/>
            </w:pPr>
            <w:r>
              <w:t xml:space="preserve">Harvest late </w:t>
            </w:r>
            <w:r w:rsidRPr="00B8561E">
              <w:t>February</w:t>
            </w:r>
          </w:p>
        </w:tc>
      </w:tr>
      <w:tr w:rsidR="00B8561E" w:rsidRPr="00B8561E" w:rsidTr="007849BE">
        <w:trPr>
          <w:trHeight w:val="300"/>
        </w:trPr>
        <w:tc>
          <w:tcPr>
            <w:tcW w:w="1666" w:type="pct"/>
            <w:tcBorders>
              <w:top w:val="single" w:sz="4" w:space="0" w:color="auto"/>
            </w:tcBorders>
            <w:shd w:val="clear" w:color="auto" w:fill="auto"/>
            <w:noWrap/>
            <w:vAlign w:val="bottom"/>
            <w:hideMark/>
          </w:tcPr>
          <w:p w:rsidR="00B8561E" w:rsidRPr="00B8561E" w:rsidRDefault="00B8561E" w:rsidP="00B8561E">
            <w:pPr>
              <w:pStyle w:val="NoSpacing"/>
            </w:pPr>
            <w:proofErr w:type="spellStart"/>
            <w:r w:rsidRPr="00B8561E">
              <w:t>Namsoy</w:t>
            </w:r>
            <w:proofErr w:type="spellEnd"/>
          </w:p>
        </w:tc>
        <w:tc>
          <w:tcPr>
            <w:tcW w:w="1666" w:type="pct"/>
            <w:tcBorders>
              <w:top w:val="single" w:sz="4" w:space="0" w:color="auto"/>
            </w:tcBorders>
            <w:shd w:val="clear" w:color="auto" w:fill="auto"/>
            <w:noWrap/>
            <w:vAlign w:val="bottom"/>
            <w:hideMark/>
          </w:tcPr>
          <w:p w:rsidR="00B8561E" w:rsidRPr="00B8561E" w:rsidRDefault="00B8561E" w:rsidP="00B8561E">
            <w:pPr>
              <w:pStyle w:val="NoSpacing"/>
              <w:jc w:val="center"/>
            </w:pPr>
            <w:r w:rsidRPr="00B8561E">
              <w:t>1335</w:t>
            </w:r>
            <w:r>
              <w:t xml:space="preserve"> (n=4)</w:t>
            </w:r>
          </w:p>
        </w:tc>
        <w:tc>
          <w:tcPr>
            <w:tcW w:w="1667" w:type="pct"/>
            <w:tcBorders>
              <w:top w:val="single" w:sz="4" w:space="0" w:color="auto"/>
            </w:tcBorders>
            <w:shd w:val="clear" w:color="auto" w:fill="auto"/>
            <w:noWrap/>
            <w:vAlign w:val="bottom"/>
            <w:hideMark/>
          </w:tcPr>
          <w:p w:rsidR="00B8561E" w:rsidRPr="00B8561E" w:rsidRDefault="00B8561E" w:rsidP="00B8561E">
            <w:pPr>
              <w:pStyle w:val="NoSpacing"/>
              <w:jc w:val="center"/>
            </w:pPr>
            <w:r w:rsidRPr="00B8561E">
              <w:t>550</w:t>
            </w:r>
            <w:r>
              <w:t xml:space="preserve"> (n=2)</w:t>
            </w:r>
          </w:p>
        </w:tc>
      </w:tr>
      <w:tr w:rsidR="00B8561E" w:rsidRPr="00B8561E" w:rsidTr="007849BE">
        <w:trPr>
          <w:trHeight w:val="300"/>
        </w:trPr>
        <w:tc>
          <w:tcPr>
            <w:tcW w:w="1666" w:type="pct"/>
            <w:shd w:val="clear" w:color="auto" w:fill="auto"/>
            <w:noWrap/>
            <w:vAlign w:val="bottom"/>
            <w:hideMark/>
          </w:tcPr>
          <w:p w:rsidR="00B8561E" w:rsidRPr="00B8561E" w:rsidRDefault="00B8561E" w:rsidP="00B8561E">
            <w:pPr>
              <w:pStyle w:val="NoSpacing"/>
            </w:pPr>
            <w:r w:rsidRPr="00B8561E">
              <w:t>Samba</w:t>
            </w:r>
          </w:p>
        </w:tc>
        <w:tc>
          <w:tcPr>
            <w:tcW w:w="1666" w:type="pct"/>
            <w:shd w:val="clear" w:color="auto" w:fill="auto"/>
            <w:noWrap/>
            <w:vAlign w:val="bottom"/>
            <w:hideMark/>
          </w:tcPr>
          <w:p w:rsidR="00B8561E" w:rsidRPr="00B8561E" w:rsidRDefault="00B8561E" w:rsidP="00B8561E">
            <w:pPr>
              <w:pStyle w:val="NoSpacing"/>
              <w:jc w:val="center"/>
            </w:pPr>
            <w:r w:rsidRPr="00B8561E">
              <w:t>1257</w:t>
            </w:r>
            <w:r>
              <w:t xml:space="preserve"> (n=3)</w:t>
            </w:r>
          </w:p>
        </w:tc>
        <w:tc>
          <w:tcPr>
            <w:tcW w:w="1667" w:type="pct"/>
            <w:shd w:val="clear" w:color="auto" w:fill="auto"/>
            <w:noWrap/>
            <w:vAlign w:val="bottom"/>
            <w:hideMark/>
          </w:tcPr>
          <w:p w:rsidR="00B8561E" w:rsidRPr="00B8561E" w:rsidRDefault="00B8561E" w:rsidP="00B8561E">
            <w:pPr>
              <w:pStyle w:val="NoSpacing"/>
              <w:jc w:val="center"/>
            </w:pPr>
            <w:r w:rsidRPr="00B8561E">
              <w:t>997</w:t>
            </w:r>
            <w:r>
              <w:t xml:space="preserve"> (n=2)</w:t>
            </w:r>
          </w:p>
        </w:tc>
      </w:tr>
      <w:tr w:rsidR="00B8561E" w:rsidRPr="00B8561E" w:rsidTr="007849BE">
        <w:trPr>
          <w:trHeight w:val="300"/>
        </w:trPr>
        <w:tc>
          <w:tcPr>
            <w:tcW w:w="1666" w:type="pct"/>
            <w:shd w:val="clear" w:color="auto" w:fill="auto"/>
            <w:noWrap/>
            <w:vAlign w:val="bottom"/>
            <w:hideMark/>
          </w:tcPr>
          <w:p w:rsidR="00B8561E" w:rsidRPr="00B8561E" w:rsidRDefault="00B8561E" w:rsidP="00B8561E">
            <w:pPr>
              <w:pStyle w:val="NoSpacing"/>
            </w:pPr>
            <w:r w:rsidRPr="00B8561E">
              <w:t>TGx1987-62F</w:t>
            </w:r>
          </w:p>
        </w:tc>
        <w:tc>
          <w:tcPr>
            <w:tcW w:w="1666" w:type="pct"/>
            <w:shd w:val="clear" w:color="auto" w:fill="auto"/>
            <w:noWrap/>
            <w:vAlign w:val="bottom"/>
            <w:hideMark/>
          </w:tcPr>
          <w:p w:rsidR="00B8561E" w:rsidRPr="00B8561E" w:rsidRDefault="00B8561E" w:rsidP="00B8561E">
            <w:pPr>
              <w:pStyle w:val="NoSpacing"/>
              <w:jc w:val="center"/>
            </w:pPr>
            <w:r w:rsidRPr="00B8561E">
              <w:t>2185</w:t>
            </w:r>
            <w:r>
              <w:t xml:space="preserve"> (n=3)</w:t>
            </w:r>
          </w:p>
        </w:tc>
        <w:tc>
          <w:tcPr>
            <w:tcW w:w="1667" w:type="pct"/>
            <w:shd w:val="clear" w:color="auto" w:fill="auto"/>
            <w:noWrap/>
            <w:vAlign w:val="bottom"/>
            <w:hideMark/>
          </w:tcPr>
          <w:p w:rsidR="00B8561E" w:rsidRPr="00B8561E" w:rsidRDefault="00B8561E" w:rsidP="00B8561E">
            <w:pPr>
              <w:pStyle w:val="NoSpacing"/>
              <w:jc w:val="center"/>
            </w:pPr>
            <w:r w:rsidRPr="00B8561E">
              <w:t>834</w:t>
            </w:r>
            <w:r>
              <w:t xml:space="preserve"> (n=2)</w:t>
            </w:r>
          </w:p>
        </w:tc>
      </w:tr>
      <w:tr w:rsidR="00B8561E" w:rsidRPr="00B8561E" w:rsidTr="007849BE">
        <w:trPr>
          <w:trHeight w:val="300"/>
        </w:trPr>
        <w:tc>
          <w:tcPr>
            <w:tcW w:w="1666" w:type="pct"/>
            <w:shd w:val="clear" w:color="auto" w:fill="auto"/>
            <w:noWrap/>
            <w:vAlign w:val="bottom"/>
            <w:hideMark/>
          </w:tcPr>
          <w:p w:rsidR="00B8561E" w:rsidRPr="00B8561E" w:rsidRDefault="00B8561E" w:rsidP="00B8561E">
            <w:pPr>
              <w:pStyle w:val="NoSpacing"/>
            </w:pPr>
            <w:r w:rsidRPr="00B8561E">
              <w:t>TGx1987-6F</w:t>
            </w:r>
          </w:p>
        </w:tc>
        <w:tc>
          <w:tcPr>
            <w:tcW w:w="1666" w:type="pct"/>
            <w:shd w:val="clear" w:color="auto" w:fill="auto"/>
            <w:vAlign w:val="bottom"/>
          </w:tcPr>
          <w:p w:rsidR="00B8561E" w:rsidRPr="00B8561E" w:rsidRDefault="00B8561E" w:rsidP="00B8561E">
            <w:pPr>
              <w:pStyle w:val="NoSpacing"/>
              <w:numPr>
                <w:ilvl w:val="0"/>
                <w:numId w:val="1"/>
              </w:numPr>
              <w:jc w:val="center"/>
            </w:pPr>
          </w:p>
        </w:tc>
        <w:tc>
          <w:tcPr>
            <w:tcW w:w="1667" w:type="pct"/>
            <w:shd w:val="clear" w:color="auto" w:fill="auto"/>
            <w:noWrap/>
            <w:vAlign w:val="bottom"/>
            <w:hideMark/>
          </w:tcPr>
          <w:p w:rsidR="00B8561E" w:rsidRPr="00B8561E" w:rsidRDefault="00B8561E" w:rsidP="00B8561E">
            <w:pPr>
              <w:pStyle w:val="NoSpacing"/>
              <w:jc w:val="center"/>
            </w:pPr>
            <w:r w:rsidRPr="00B8561E">
              <w:t>783</w:t>
            </w:r>
            <w:r>
              <w:t xml:space="preserve"> (n=6)</w:t>
            </w:r>
          </w:p>
        </w:tc>
      </w:tr>
    </w:tbl>
    <w:p w:rsidR="00B8561E" w:rsidRDefault="00B8561E" w:rsidP="00544CED">
      <w:pPr>
        <w:pStyle w:val="NoSpacing"/>
      </w:pPr>
    </w:p>
    <w:p w:rsidR="004D1AE0" w:rsidRDefault="004D1AE0">
      <w:pPr>
        <w:rPr>
          <w:rFonts w:ascii="Verdana" w:hAnsi="Verdana"/>
          <w:sz w:val="17"/>
          <w:lang w:val="en-GB"/>
        </w:rPr>
      </w:pPr>
      <w:r>
        <w:br w:type="page"/>
      </w:r>
    </w:p>
    <w:p w:rsidR="00B8561E" w:rsidRPr="008D5C61" w:rsidRDefault="004D1AE0" w:rsidP="00544CED">
      <w:pPr>
        <w:pStyle w:val="NoSpacing"/>
        <w:rPr>
          <w:b/>
          <w:i/>
        </w:rPr>
      </w:pPr>
      <w:r w:rsidRPr="008D5C61">
        <w:rPr>
          <w:b/>
          <w:i/>
        </w:rPr>
        <w:lastRenderedPageBreak/>
        <w:t>Soybean rust evaluation</w:t>
      </w:r>
    </w:p>
    <w:p w:rsidR="004D1AE0" w:rsidRDefault="004D1AE0" w:rsidP="00544CED">
      <w:pPr>
        <w:pStyle w:val="NoSpacing"/>
      </w:pPr>
    </w:p>
    <w:p w:rsidR="004D1AE0" w:rsidRDefault="004D1AE0" w:rsidP="004D1AE0">
      <w:pPr>
        <w:pStyle w:val="NoSpacing"/>
      </w:pPr>
      <w:r w:rsidRPr="00544CED">
        <w:t xml:space="preserve">Location: </w:t>
      </w:r>
      <w:proofErr w:type="spellStart"/>
      <w:r>
        <w:t>Mumias</w:t>
      </w:r>
      <w:proofErr w:type="spellEnd"/>
    </w:p>
    <w:p w:rsidR="004D1AE0" w:rsidRDefault="004D1AE0" w:rsidP="004D1AE0">
      <w:pPr>
        <w:pStyle w:val="NoSpacing"/>
      </w:pPr>
      <w:r w:rsidRPr="008D5C61">
        <w:t>GPS: NA</w:t>
      </w:r>
    </w:p>
    <w:p w:rsidR="004D1AE0" w:rsidRPr="00544CED" w:rsidRDefault="004D1AE0" w:rsidP="004D1AE0">
      <w:pPr>
        <w:pStyle w:val="NoSpacing"/>
      </w:pPr>
      <w:r w:rsidRPr="00544CED">
        <w:t xml:space="preserve">Planting date: </w:t>
      </w:r>
      <w:r>
        <w:t>19-9-2011</w:t>
      </w:r>
    </w:p>
    <w:p w:rsidR="004D1AE0" w:rsidRDefault="004D1AE0" w:rsidP="004D1AE0">
      <w:pPr>
        <w:pStyle w:val="NoSpacing"/>
      </w:pPr>
      <w:r w:rsidRPr="00544CED">
        <w:t xml:space="preserve">Harvest date: </w:t>
      </w:r>
      <w:r>
        <w:t>19-1-2012 and 3-2-2012</w:t>
      </w:r>
    </w:p>
    <w:p w:rsidR="004D1AE0" w:rsidRDefault="004D1AE0" w:rsidP="004D1AE0">
      <w:pPr>
        <w:pStyle w:val="NoSpacing"/>
      </w:pPr>
      <w:r>
        <w:t>Blanket application of: TSP/</w:t>
      </w:r>
      <w:proofErr w:type="spellStart"/>
      <w:r>
        <w:t>KCl</w:t>
      </w:r>
      <w:proofErr w:type="spellEnd"/>
      <w:r>
        <w:t>/Urea and inoculation</w:t>
      </w:r>
    </w:p>
    <w:p w:rsidR="004D1AE0" w:rsidRDefault="004D1AE0" w:rsidP="004D1AE0">
      <w:pPr>
        <w:pStyle w:val="NoSpacing"/>
      </w:pPr>
    </w:p>
    <w:p w:rsidR="004D1AE0" w:rsidRDefault="004D1AE0" w:rsidP="004D1AE0">
      <w:pPr>
        <w:pStyle w:val="NoSpacing"/>
      </w:pPr>
      <w:r>
        <w:t>Remarks:</w:t>
      </w:r>
    </w:p>
    <w:p w:rsidR="00F43489" w:rsidRDefault="006058C1" w:rsidP="00F43489">
      <w:pPr>
        <w:pStyle w:val="NoSpacing"/>
      </w:pPr>
      <w:r>
        <w:t>Germination on all plots was quite low, between 5</w:t>
      </w:r>
      <w:r w:rsidR="00E615C0">
        <w:t>6</w:t>
      </w:r>
      <w:r>
        <w:t xml:space="preserve">% </w:t>
      </w:r>
      <w:r w:rsidR="00E615C0">
        <w:t xml:space="preserve">(Sequel) </w:t>
      </w:r>
      <w:r>
        <w:t>and 76%</w:t>
      </w:r>
      <w:r w:rsidR="00E615C0">
        <w:t xml:space="preserve"> (Saga)</w:t>
      </w:r>
      <w:r>
        <w:t>.</w:t>
      </w:r>
      <w:r w:rsidR="00E615C0">
        <w:t xml:space="preserve"> </w:t>
      </w:r>
      <w:r>
        <w:t xml:space="preserve"> Only variety TGX1987-6F had an average germination of 85%.</w:t>
      </w:r>
      <w:r w:rsidR="00C70132">
        <w:t xml:space="preserve"> </w:t>
      </w:r>
      <w:r w:rsidR="008D5C61">
        <w:t xml:space="preserve">Varieties </w:t>
      </w:r>
      <w:proofErr w:type="spellStart"/>
      <w:r w:rsidR="008D5C61">
        <w:t>Maksoy</w:t>
      </w:r>
      <w:proofErr w:type="spellEnd"/>
      <w:r w:rsidR="008D5C61">
        <w:t xml:space="preserve">, </w:t>
      </w:r>
      <w:proofErr w:type="spellStart"/>
      <w:r w:rsidR="008D5C61">
        <w:t>Namsoy</w:t>
      </w:r>
      <w:proofErr w:type="spellEnd"/>
      <w:r w:rsidR="008D5C61">
        <w:t xml:space="preserve">, </w:t>
      </w:r>
      <w:proofErr w:type="spellStart"/>
      <w:r w:rsidR="008D5C61">
        <w:t>Nyala</w:t>
      </w:r>
      <w:proofErr w:type="spellEnd"/>
      <w:r w:rsidR="008D5C61">
        <w:t xml:space="preserve"> and SB19 had the highest rust scores. These scores diminished as a result of spraying, although they were still relatively high compared to other varieties.</w:t>
      </w:r>
      <w:r w:rsidR="00C70132">
        <w:t xml:space="preserve"> </w:t>
      </w:r>
      <w:r w:rsidR="00E615C0">
        <w:t xml:space="preserve">The number of nodules was comparable for most varieties, with </w:t>
      </w:r>
      <w:r w:rsidR="00C70132">
        <w:t>the</w:t>
      </w:r>
      <w:r w:rsidR="00E615C0">
        <w:t xml:space="preserve"> exception </w:t>
      </w:r>
      <w:r w:rsidR="00C70132">
        <w:t xml:space="preserve">of </w:t>
      </w:r>
      <w:proofErr w:type="spellStart"/>
      <w:r w:rsidR="00E615C0">
        <w:t>Nyala</w:t>
      </w:r>
      <w:proofErr w:type="spellEnd"/>
      <w:r w:rsidR="00C70132">
        <w:t xml:space="preserve"> which had a much lower nodule score. Spraying against rust barely affected the number of nodules. </w:t>
      </w:r>
      <w:r w:rsidR="00E23AB1">
        <w:t>Grain yields benefit</w:t>
      </w:r>
      <w:r w:rsidR="00C70132">
        <w:t>ted</w:t>
      </w:r>
      <w:r w:rsidR="00E23AB1">
        <w:t xml:space="preserve"> largely from spraying, with an exception for varieties Saga and TGX1987-62F. Variety S823-6-16 achieved the highest grain yields when sprayed, and also had a relatively low rust score. Stover yields also benefitted from spraying in most cases, with </w:t>
      </w:r>
      <w:proofErr w:type="spellStart"/>
      <w:r w:rsidR="00E23AB1">
        <w:t>Namsoy</w:t>
      </w:r>
      <w:proofErr w:type="spellEnd"/>
      <w:r w:rsidR="00E23AB1">
        <w:t>, S823-6-16 and Samba showing the strongest increase in yield.</w:t>
      </w:r>
      <w:r w:rsidR="00C70132">
        <w:t xml:space="preserve"> </w:t>
      </w:r>
      <w:r w:rsidR="00F43489">
        <w:t>The plot of variety Saga and two of TGX1987-62F (all three sprayed), and all plots of TGX1987-6F were harvested early February, whereas the other plots were harvested mid-January. This late harvesting had a negative impact on grain yields, with yields in January being twice to four times as high as yields from February.</w:t>
      </w:r>
    </w:p>
    <w:p w:rsidR="00E23AB1" w:rsidRDefault="00E23AB1" w:rsidP="004D1AE0">
      <w:pPr>
        <w:pStyle w:val="NoSpacing"/>
      </w:pPr>
    </w:p>
    <w:p w:rsidR="008D5C61" w:rsidRDefault="008D5C61" w:rsidP="004D1AE0">
      <w:pPr>
        <w:pStyle w:val="NoSpacing"/>
      </w:pPr>
    </w:p>
    <w:p w:rsidR="004D1AE0" w:rsidRPr="00544CED" w:rsidRDefault="004D1AE0" w:rsidP="004D1AE0">
      <w:pPr>
        <w:pStyle w:val="NoSpacing"/>
      </w:pPr>
      <w:r>
        <w:rPr>
          <w:noProof/>
          <w:lang w:val="en-US"/>
        </w:rPr>
        <w:drawing>
          <wp:inline distT="0" distB="0" distL="0" distR="0" wp14:anchorId="3E92C422" wp14:editId="50868DB7">
            <wp:extent cx="4572000" cy="2743200"/>
            <wp:effectExtent l="0" t="0" r="19050" b="19050"/>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4D1AE0" w:rsidRDefault="004D1AE0" w:rsidP="00544CED">
      <w:pPr>
        <w:pStyle w:val="NoSpacing"/>
      </w:pPr>
    </w:p>
    <w:p w:rsidR="004D1AE0" w:rsidRDefault="004D1AE0" w:rsidP="00544CED">
      <w:pPr>
        <w:pStyle w:val="NoSpacing"/>
      </w:pPr>
      <w:r>
        <w:rPr>
          <w:noProof/>
          <w:lang w:val="en-US"/>
        </w:rPr>
        <w:lastRenderedPageBreak/>
        <w:drawing>
          <wp:inline distT="0" distB="0" distL="0" distR="0" wp14:anchorId="3345C9CF" wp14:editId="398D7939">
            <wp:extent cx="4572000" cy="2743200"/>
            <wp:effectExtent l="0" t="0" r="19050" b="1905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4D1AE0" w:rsidRDefault="004D1AE0" w:rsidP="00544CED">
      <w:pPr>
        <w:pStyle w:val="NoSpacing"/>
      </w:pPr>
    </w:p>
    <w:p w:rsidR="004D1AE0" w:rsidRDefault="004D1AE0" w:rsidP="00544CED">
      <w:pPr>
        <w:pStyle w:val="NoSpacing"/>
      </w:pPr>
      <w:r>
        <w:rPr>
          <w:noProof/>
          <w:lang w:val="en-US"/>
        </w:rPr>
        <w:drawing>
          <wp:inline distT="0" distB="0" distL="0" distR="0" wp14:anchorId="176AF225" wp14:editId="0F5E063D">
            <wp:extent cx="4572000" cy="2743200"/>
            <wp:effectExtent l="0" t="0" r="19050" b="19050"/>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4D1AE0" w:rsidRDefault="004D1AE0" w:rsidP="00544CED">
      <w:pPr>
        <w:pStyle w:val="NoSpacing"/>
      </w:pPr>
    </w:p>
    <w:p w:rsidR="00E615C0" w:rsidRDefault="00E615C0" w:rsidP="00544CED">
      <w:pPr>
        <w:pStyle w:val="NoSpacing"/>
      </w:pPr>
    </w:p>
    <w:p w:rsidR="004D1AE0" w:rsidRDefault="004D1AE0" w:rsidP="00544CED">
      <w:pPr>
        <w:pStyle w:val="NoSpacing"/>
      </w:pPr>
      <w:r>
        <w:rPr>
          <w:noProof/>
          <w:lang w:val="en-US"/>
        </w:rPr>
        <w:lastRenderedPageBreak/>
        <w:drawing>
          <wp:inline distT="0" distB="0" distL="0" distR="0" wp14:anchorId="3A76E623" wp14:editId="698FE5B4">
            <wp:extent cx="4572000" cy="2743200"/>
            <wp:effectExtent l="0" t="0" r="19050" b="19050"/>
            <wp:docPr id="25"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6472CA" w:rsidRDefault="006472CA" w:rsidP="00544CED">
      <w:pPr>
        <w:pStyle w:val="NoSpacing"/>
      </w:pPr>
    </w:p>
    <w:p w:rsidR="00B87905" w:rsidRDefault="00B87905" w:rsidP="00544CED">
      <w:pPr>
        <w:pStyle w:val="NoSpacing"/>
      </w:pPr>
    </w:p>
    <w:p w:rsidR="00E23AB1" w:rsidRPr="00E23AB1" w:rsidRDefault="00E23AB1" w:rsidP="00544CED">
      <w:pPr>
        <w:pStyle w:val="NoSpacing"/>
        <w:rPr>
          <w:i/>
        </w:rPr>
      </w:pPr>
      <w:r w:rsidRPr="00E23AB1">
        <w:rPr>
          <w:i/>
        </w:rPr>
        <w:t xml:space="preserve">Effect </w:t>
      </w:r>
      <w:r w:rsidR="00F43489">
        <w:rPr>
          <w:i/>
        </w:rPr>
        <w:t xml:space="preserve">of </w:t>
      </w:r>
      <w:r w:rsidRPr="00E23AB1">
        <w:rPr>
          <w:i/>
        </w:rPr>
        <w:t>harvest date on grain yield</w:t>
      </w:r>
    </w:p>
    <w:tbl>
      <w:tblPr>
        <w:tblW w:w="5000" w:type="pct"/>
        <w:tblBorders>
          <w:top w:val="single" w:sz="4" w:space="0" w:color="auto"/>
          <w:bottom w:val="single" w:sz="4" w:space="0" w:color="auto"/>
        </w:tblBorders>
        <w:tblLook w:val="04A0" w:firstRow="1" w:lastRow="0" w:firstColumn="1" w:lastColumn="0" w:noHBand="0" w:noVBand="1"/>
      </w:tblPr>
      <w:tblGrid>
        <w:gridCol w:w="3207"/>
        <w:gridCol w:w="3207"/>
        <w:gridCol w:w="3208"/>
      </w:tblGrid>
      <w:tr w:rsidR="006472CA" w:rsidRPr="006472CA" w:rsidTr="00E23AB1">
        <w:trPr>
          <w:trHeight w:val="300"/>
        </w:trPr>
        <w:tc>
          <w:tcPr>
            <w:tcW w:w="1666" w:type="pct"/>
            <w:tcBorders>
              <w:top w:val="single" w:sz="4" w:space="0" w:color="auto"/>
              <w:bottom w:val="single" w:sz="4" w:space="0" w:color="auto"/>
            </w:tcBorders>
            <w:shd w:val="clear" w:color="auto" w:fill="auto"/>
            <w:noWrap/>
            <w:vAlign w:val="bottom"/>
            <w:hideMark/>
          </w:tcPr>
          <w:p w:rsidR="006472CA" w:rsidRPr="006472CA" w:rsidRDefault="006472CA" w:rsidP="006472CA">
            <w:pPr>
              <w:pStyle w:val="NoSpacing"/>
            </w:pPr>
          </w:p>
        </w:tc>
        <w:tc>
          <w:tcPr>
            <w:tcW w:w="1666" w:type="pct"/>
            <w:tcBorders>
              <w:top w:val="single" w:sz="4" w:space="0" w:color="auto"/>
              <w:bottom w:val="single" w:sz="4" w:space="0" w:color="auto"/>
            </w:tcBorders>
            <w:shd w:val="clear" w:color="auto" w:fill="auto"/>
            <w:noWrap/>
            <w:vAlign w:val="bottom"/>
            <w:hideMark/>
          </w:tcPr>
          <w:p w:rsidR="006472CA" w:rsidRPr="006472CA" w:rsidRDefault="006472CA" w:rsidP="006472CA">
            <w:pPr>
              <w:pStyle w:val="NoSpacing"/>
              <w:jc w:val="center"/>
            </w:pPr>
            <w:r>
              <w:t>Mid-January</w:t>
            </w:r>
          </w:p>
        </w:tc>
        <w:tc>
          <w:tcPr>
            <w:tcW w:w="1667" w:type="pct"/>
            <w:tcBorders>
              <w:top w:val="single" w:sz="4" w:space="0" w:color="auto"/>
              <w:bottom w:val="single" w:sz="4" w:space="0" w:color="auto"/>
            </w:tcBorders>
            <w:shd w:val="clear" w:color="auto" w:fill="auto"/>
            <w:noWrap/>
            <w:vAlign w:val="bottom"/>
            <w:hideMark/>
          </w:tcPr>
          <w:p w:rsidR="006472CA" w:rsidRPr="006472CA" w:rsidRDefault="006472CA" w:rsidP="006472CA">
            <w:pPr>
              <w:pStyle w:val="NoSpacing"/>
              <w:jc w:val="center"/>
            </w:pPr>
            <w:r>
              <w:t>Early F</w:t>
            </w:r>
            <w:r w:rsidRPr="006472CA">
              <w:t>eb</w:t>
            </w:r>
            <w:r>
              <w:t>ruary</w:t>
            </w:r>
          </w:p>
        </w:tc>
      </w:tr>
      <w:tr w:rsidR="006472CA" w:rsidRPr="006472CA" w:rsidTr="00E23AB1">
        <w:trPr>
          <w:trHeight w:val="300"/>
        </w:trPr>
        <w:tc>
          <w:tcPr>
            <w:tcW w:w="1666" w:type="pct"/>
            <w:tcBorders>
              <w:top w:val="single" w:sz="4" w:space="0" w:color="auto"/>
            </w:tcBorders>
            <w:shd w:val="clear" w:color="auto" w:fill="auto"/>
            <w:noWrap/>
            <w:vAlign w:val="bottom"/>
            <w:hideMark/>
          </w:tcPr>
          <w:p w:rsidR="006472CA" w:rsidRPr="006472CA" w:rsidRDefault="006472CA" w:rsidP="006472CA">
            <w:pPr>
              <w:pStyle w:val="NoSpacing"/>
            </w:pPr>
            <w:r w:rsidRPr="006472CA">
              <w:t>Saga</w:t>
            </w:r>
          </w:p>
        </w:tc>
        <w:tc>
          <w:tcPr>
            <w:tcW w:w="1666" w:type="pct"/>
            <w:tcBorders>
              <w:top w:val="single" w:sz="4" w:space="0" w:color="auto"/>
            </w:tcBorders>
            <w:shd w:val="clear" w:color="auto" w:fill="auto"/>
            <w:noWrap/>
            <w:vAlign w:val="bottom"/>
            <w:hideMark/>
          </w:tcPr>
          <w:p w:rsidR="006472CA" w:rsidRPr="006472CA" w:rsidRDefault="006472CA" w:rsidP="006472CA">
            <w:pPr>
              <w:pStyle w:val="NoSpacing"/>
              <w:jc w:val="center"/>
            </w:pPr>
            <w:r w:rsidRPr="006472CA">
              <w:t>1364</w:t>
            </w:r>
            <w:r>
              <w:t xml:space="preserve"> (n=5)</w:t>
            </w:r>
          </w:p>
        </w:tc>
        <w:tc>
          <w:tcPr>
            <w:tcW w:w="1667" w:type="pct"/>
            <w:tcBorders>
              <w:top w:val="single" w:sz="4" w:space="0" w:color="auto"/>
            </w:tcBorders>
            <w:shd w:val="clear" w:color="auto" w:fill="auto"/>
            <w:noWrap/>
            <w:vAlign w:val="bottom"/>
            <w:hideMark/>
          </w:tcPr>
          <w:p w:rsidR="006472CA" w:rsidRPr="006472CA" w:rsidRDefault="006472CA" w:rsidP="006472CA">
            <w:pPr>
              <w:pStyle w:val="NoSpacing"/>
              <w:jc w:val="center"/>
            </w:pPr>
            <w:r w:rsidRPr="006472CA">
              <w:t>327</w:t>
            </w:r>
            <w:r>
              <w:t xml:space="preserve"> (n=1)</w:t>
            </w:r>
          </w:p>
        </w:tc>
      </w:tr>
      <w:tr w:rsidR="006472CA" w:rsidRPr="006472CA" w:rsidTr="00E23AB1">
        <w:trPr>
          <w:trHeight w:val="300"/>
        </w:trPr>
        <w:tc>
          <w:tcPr>
            <w:tcW w:w="1666" w:type="pct"/>
            <w:shd w:val="clear" w:color="auto" w:fill="auto"/>
            <w:noWrap/>
            <w:vAlign w:val="bottom"/>
            <w:hideMark/>
          </w:tcPr>
          <w:p w:rsidR="006472CA" w:rsidRPr="006472CA" w:rsidRDefault="006472CA" w:rsidP="006472CA">
            <w:pPr>
              <w:pStyle w:val="NoSpacing"/>
            </w:pPr>
            <w:r w:rsidRPr="006472CA">
              <w:t>TGx1987-62F</w:t>
            </w:r>
          </w:p>
        </w:tc>
        <w:tc>
          <w:tcPr>
            <w:tcW w:w="1666" w:type="pct"/>
            <w:shd w:val="clear" w:color="auto" w:fill="auto"/>
            <w:noWrap/>
            <w:vAlign w:val="bottom"/>
            <w:hideMark/>
          </w:tcPr>
          <w:p w:rsidR="006472CA" w:rsidRPr="006472CA" w:rsidRDefault="006472CA" w:rsidP="006472CA">
            <w:pPr>
              <w:pStyle w:val="NoSpacing"/>
              <w:jc w:val="center"/>
            </w:pPr>
            <w:r w:rsidRPr="006472CA">
              <w:t>1043</w:t>
            </w:r>
            <w:r>
              <w:t xml:space="preserve"> (n=4)</w:t>
            </w:r>
          </w:p>
        </w:tc>
        <w:tc>
          <w:tcPr>
            <w:tcW w:w="1667" w:type="pct"/>
            <w:shd w:val="clear" w:color="auto" w:fill="auto"/>
            <w:noWrap/>
            <w:vAlign w:val="bottom"/>
            <w:hideMark/>
          </w:tcPr>
          <w:p w:rsidR="006472CA" w:rsidRPr="006472CA" w:rsidRDefault="006472CA" w:rsidP="006472CA">
            <w:pPr>
              <w:pStyle w:val="NoSpacing"/>
              <w:jc w:val="center"/>
            </w:pPr>
            <w:r w:rsidRPr="006472CA">
              <w:t>530</w:t>
            </w:r>
            <w:r>
              <w:t xml:space="preserve"> (n=2)</w:t>
            </w:r>
          </w:p>
        </w:tc>
      </w:tr>
      <w:tr w:rsidR="006472CA" w:rsidRPr="006472CA" w:rsidTr="00E23AB1">
        <w:trPr>
          <w:trHeight w:val="300"/>
        </w:trPr>
        <w:tc>
          <w:tcPr>
            <w:tcW w:w="1666" w:type="pct"/>
            <w:shd w:val="clear" w:color="auto" w:fill="auto"/>
            <w:noWrap/>
            <w:vAlign w:val="bottom"/>
            <w:hideMark/>
          </w:tcPr>
          <w:p w:rsidR="006472CA" w:rsidRPr="006472CA" w:rsidRDefault="006472CA" w:rsidP="006472CA">
            <w:pPr>
              <w:pStyle w:val="NoSpacing"/>
            </w:pPr>
            <w:r w:rsidRPr="006472CA">
              <w:t>TGx1987-6F</w:t>
            </w:r>
          </w:p>
        </w:tc>
        <w:tc>
          <w:tcPr>
            <w:tcW w:w="1666" w:type="pct"/>
            <w:shd w:val="clear" w:color="auto" w:fill="auto"/>
            <w:noWrap/>
            <w:vAlign w:val="bottom"/>
            <w:hideMark/>
          </w:tcPr>
          <w:p w:rsidR="006472CA" w:rsidRPr="006472CA" w:rsidRDefault="006472CA" w:rsidP="006472CA">
            <w:pPr>
              <w:pStyle w:val="NoSpacing"/>
              <w:jc w:val="center"/>
            </w:pPr>
            <w:r w:rsidRPr="006472CA">
              <w:t>-</w:t>
            </w:r>
          </w:p>
        </w:tc>
        <w:tc>
          <w:tcPr>
            <w:tcW w:w="1667" w:type="pct"/>
            <w:shd w:val="clear" w:color="auto" w:fill="auto"/>
            <w:noWrap/>
            <w:vAlign w:val="bottom"/>
            <w:hideMark/>
          </w:tcPr>
          <w:p w:rsidR="006472CA" w:rsidRPr="006472CA" w:rsidRDefault="006472CA" w:rsidP="006472CA">
            <w:pPr>
              <w:pStyle w:val="NoSpacing"/>
              <w:jc w:val="center"/>
            </w:pPr>
            <w:r w:rsidRPr="006472CA">
              <w:t>577</w:t>
            </w:r>
            <w:r>
              <w:t xml:space="preserve"> (n=6)</w:t>
            </w:r>
          </w:p>
        </w:tc>
      </w:tr>
    </w:tbl>
    <w:p w:rsidR="006472CA" w:rsidRDefault="006472CA" w:rsidP="00544CED">
      <w:pPr>
        <w:pStyle w:val="NoSpacing"/>
      </w:pPr>
    </w:p>
    <w:p w:rsidR="00021D64" w:rsidRDefault="00021D64" w:rsidP="00544CED">
      <w:pPr>
        <w:pStyle w:val="NoSpacing"/>
      </w:pPr>
    </w:p>
    <w:p w:rsidR="00021D64" w:rsidRDefault="00021D64">
      <w:pPr>
        <w:rPr>
          <w:rFonts w:ascii="Verdana" w:hAnsi="Verdana"/>
          <w:sz w:val="17"/>
          <w:lang w:val="en-GB"/>
        </w:rPr>
      </w:pPr>
      <w:r>
        <w:br w:type="page"/>
      </w:r>
    </w:p>
    <w:p w:rsidR="00021D64" w:rsidRDefault="00021D64" w:rsidP="00544CED">
      <w:pPr>
        <w:pStyle w:val="NoSpacing"/>
        <w:rPr>
          <w:b/>
          <w:i/>
        </w:rPr>
      </w:pPr>
      <w:r w:rsidRPr="00021D64">
        <w:rPr>
          <w:b/>
          <w:i/>
        </w:rPr>
        <w:lastRenderedPageBreak/>
        <w:t>Soybean rust evaluation</w:t>
      </w:r>
    </w:p>
    <w:p w:rsidR="00021D64" w:rsidRDefault="00021D64" w:rsidP="00544CED">
      <w:pPr>
        <w:pStyle w:val="NoSpacing"/>
      </w:pPr>
    </w:p>
    <w:p w:rsidR="00021D64" w:rsidRDefault="00021D64" w:rsidP="00544CED">
      <w:pPr>
        <w:pStyle w:val="NoSpacing"/>
      </w:pPr>
      <w:r>
        <w:t xml:space="preserve">Location: </w:t>
      </w:r>
      <w:proofErr w:type="spellStart"/>
      <w:r>
        <w:t>Teso</w:t>
      </w:r>
      <w:proofErr w:type="spellEnd"/>
    </w:p>
    <w:p w:rsidR="00021D64" w:rsidRPr="00035201" w:rsidRDefault="00021D64" w:rsidP="00035201">
      <w:pPr>
        <w:pStyle w:val="NoSpacing"/>
      </w:pPr>
      <w:r>
        <w:t>GPS:</w:t>
      </w:r>
      <w:r w:rsidRPr="00021D64">
        <w:t xml:space="preserve"> E</w:t>
      </w:r>
      <w:r w:rsidR="00F83C03" w:rsidRPr="00035201">
        <w:t xml:space="preserve"> 34.19183</w:t>
      </w:r>
      <w:r w:rsidRPr="00021D64">
        <w:t>; N</w:t>
      </w:r>
      <w:r w:rsidR="00F83C03" w:rsidRPr="00035201">
        <w:t xml:space="preserve"> 0.564333</w:t>
      </w:r>
      <w:r w:rsidRPr="00021D64">
        <w:t>; Elevation: 1185 m</w:t>
      </w:r>
    </w:p>
    <w:p w:rsidR="00021D64" w:rsidRPr="00021D64" w:rsidRDefault="00021D64" w:rsidP="00021D64">
      <w:pPr>
        <w:pStyle w:val="NoSpacing"/>
      </w:pPr>
      <w:r w:rsidRPr="00021D64">
        <w:t xml:space="preserve">Planting date: </w:t>
      </w:r>
      <w:r>
        <w:t>13-9-2011</w:t>
      </w:r>
    </w:p>
    <w:p w:rsidR="00021D64" w:rsidRDefault="00021D64" w:rsidP="00021D64">
      <w:pPr>
        <w:pStyle w:val="NoSpacing"/>
      </w:pPr>
      <w:r w:rsidRPr="00021D64">
        <w:t>Harvest date:</w:t>
      </w:r>
      <w:r>
        <w:t xml:space="preserve"> 11-1-2012 and 9-2-2012</w:t>
      </w:r>
    </w:p>
    <w:p w:rsidR="00021D64" w:rsidRDefault="00021D64" w:rsidP="00021D64">
      <w:pPr>
        <w:pStyle w:val="NoSpacing"/>
      </w:pPr>
      <w:r>
        <w:t>Blanket application of: TSP/</w:t>
      </w:r>
      <w:proofErr w:type="spellStart"/>
      <w:r>
        <w:t>KCl</w:t>
      </w:r>
      <w:proofErr w:type="spellEnd"/>
      <w:r>
        <w:t>/Urea and inoculation</w:t>
      </w:r>
    </w:p>
    <w:p w:rsidR="00021D64" w:rsidRDefault="00021D64" w:rsidP="00021D64">
      <w:pPr>
        <w:pStyle w:val="NoSpacing"/>
      </w:pPr>
    </w:p>
    <w:p w:rsidR="00021D64" w:rsidRDefault="00021D64" w:rsidP="00021D64">
      <w:pPr>
        <w:pStyle w:val="NoSpacing"/>
      </w:pPr>
      <w:r>
        <w:t>Remarks:</w:t>
      </w:r>
    </w:p>
    <w:p w:rsidR="00021D64" w:rsidRDefault="00046B97" w:rsidP="00021D64">
      <w:pPr>
        <w:pStyle w:val="NoSpacing"/>
      </w:pPr>
      <w:r>
        <w:t xml:space="preserve">There is a high variability of germination among the different plots. </w:t>
      </w:r>
      <w:r w:rsidR="00F43489">
        <w:t>For v</w:t>
      </w:r>
      <w:r>
        <w:t xml:space="preserve">arieties </w:t>
      </w:r>
      <w:proofErr w:type="spellStart"/>
      <w:r>
        <w:t>Maksoy</w:t>
      </w:r>
      <w:proofErr w:type="spellEnd"/>
      <w:r w:rsidR="00F43489">
        <w:t xml:space="preserve"> and</w:t>
      </w:r>
      <w:r>
        <w:t xml:space="preserve"> </w:t>
      </w:r>
      <w:proofErr w:type="spellStart"/>
      <w:r>
        <w:t>Namsoy</w:t>
      </w:r>
      <w:proofErr w:type="spellEnd"/>
      <w:r w:rsidR="00F43489">
        <w:t xml:space="preserve"> average germination is above 80% (with the sprayed plots showing better germination than the non-sprayed plots). </w:t>
      </w:r>
      <w:r w:rsidR="00F95044">
        <w:t>Varieties</w:t>
      </w:r>
      <w:r w:rsidR="00F43489">
        <w:t xml:space="preserve"> Saga, Samba and Squire, in contrast, have germination percentages of less than 50%. </w:t>
      </w:r>
    </w:p>
    <w:p w:rsidR="00C70132" w:rsidRDefault="00F43489" w:rsidP="00F95044">
      <w:pPr>
        <w:pStyle w:val="NoSpacing"/>
      </w:pPr>
      <w:r>
        <w:t>The rust score decreased dramatically for all varieties as a result of spraying against soybean rust. Only for variety Sequel the difference is not that big, but this variety had a relatively low score already.</w:t>
      </w:r>
      <w:r w:rsidR="00C70132">
        <w:t xml:space="preserve"> Variety </w:t>
      </w:r>
      <w:proofErr w:type="spellStart"/>
      <w:r>
        <w:t>Maksoy</w:t>
      </w:r>
      <w:proofErr w:type="spellEnd"/>
      <w:r w:rsidR="00C70132">
        <w:t xml:space="preserve">, in contrast, </w:t>
      </w:r>
      <w:r>
        <w:t>had a high rust score before spraying.</w:t>
      </w:r>
    </w:p>
    <w:p w:rsidR="00F95044" w:rsidRDefault="00F43489" w:rsidP="00F95044">
      <w:pPr>
        <w:pStyle w:val="NoSpacing"/>
      </w:pPr>
      <w:r>
        <w:t>The number of nodules did not seem to ben</w:t>
      </w:r>
      <w:r w:rsidR="00C70132">
        <w:t>efit from spraying against rust, but t</w:t>
      </w:r>
      <w:r w:rsidR="00F95044">
        <w:t xml:space="preserve">he decrease in rust score </w:t>
      </w:r>
      <w:r w:rsidR="00C70132">
        <w:t xml:space="preserve">was </w:t>
      </w:r>
      <w:r w:rsidR="00F95044">
        <w:t>translated in higher grain yields</w:t>
      </w:r>
      <w:r w:rsidR="00C70132">
        <w:t xml:space="preserve">. </w:t>
      </w:r>
      <w:r w:rsidR="00F95044">
        <w:t xml:space="preserve">Varieties </w:t>
      </w:r>
      <w:proofErr w:type="spellStart"/>
      <w:r w:rsidR="00F95044">
        <w:t>Maksoy</w:t>
      </w:r>
      <w:proofErr w:type="spellEnd"/>
      <w:r w:rsidR="00F95044">
        <w:t>, Samba and SB19 benefitted the most. The highest grain yield with spraying was obtained by varieties Sequel and Squire.</w:t>
      </w:r>
      <w:r w:rsidR="00C70132">
        <w:t xml:space="preserve"> </w:t>
      </w:r>
      <w:r w:rsidR="00F95044">
        <w:t xml:space="preserve">Stover yields generally also increased after spraying. The only varieties that did not, or barely, benefit were </w:t>
      </w:r>
      <w:proofErr w:type="spellStart"/>
      <w:r w:rsidR="00F95044">
        <w:t>Nyala</w:t>
      </w:r>
      <w:proofErr w:type="spellEnd"/>
      <w:r w:rsidR="00F95044">
        <w:t>, TGX1987-62F and TGX1987-6F.</w:t>
      </w:r>
    </w:p>
    <w:p w:rsidR="00021D64" w:rsidRDefault="0082554C" w:rsidP="00021D64">
      <w:pPr>
        <w:pStyle w:val="NoSpacing"/>
      </w:pPr>
      <w:r>
        <w:t>The difference in timing of harvest between mid-January and mid-February again resulted in lower soybean yields for the plots harvested in February.</w:t>
      </w:r>
    </w:p>
    <w:p w:rsidR="00021D64" w:rsidRDefault="00021D64" w:rsidP="00021D64">
      <w:pPr>
        <w:pStyle w:val="NoSpacing"/>
      </w:pPr>
    </w:p>
    <w:p w:rsidR="00C70132" w:rsidRDefault="00C70132" w:rsidP="00021D64">
      <w:pPr>
        <w:pStyle w:val="NoSpacing"/>
      </w:pPr>
    </w:p>
    <w:p w:rsidR="00021D64" w:rsidRDefault="00F43489" w:rsidP="00021D64">
      <w:pPr>
        <w:pStyle w:val="NoSpacing"/>
      </w:pPr>
      <w:r>
        <w:rPr>
          <w:noProof/>
          <w:lang w:val="en-US"/>
        </w:rPr>
        <w:drawing>
          <wp:inline distT="0" distB="0" distL="0" distR="0" wp14:anchorId="3C0B69D3" wp14:editId="7CC57A1D">
            <wp:extent cx="4572000" cy="2743200"/>
            <wp:effectExtent l="0" t="0" r="19050" b="19050"/>
            <wp:docPr id="45" name="Chart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021D64" w:rsidRDefault="00021D64" w:rsidP="00021D64">
      <w:pPr>
        <w:pStyle w:val="NoSpacing"/>
      </w:pPr>
    </w:p>
    <w:p w:rsidR="00021D64" w:rsidRDefault="00F43489" w:rsidP="00021D64">
      <w:pPr>
        <w:pStyle w:val="NoSpacing"/>
      </w:pPr>
      <w:r>
        <w:rPr>
          <w:noProof/>
          <w:lang w:val="en-US"/>
        </w:rPr>
        <w:lastRenderedPageBreak/>
        <w:drawing>
          <wp:inline distT="0" distB="0" distL="0" distR="0" wp14:anchorId="339D6C8D" wp14:editId="53A64201">
            <wp:extent cx="4572000" cy="2743200"/>
            <wp:effectExtent l="0" t="0" r="19050" b="19050"/>
            <wp:docPr id="46" name="Chart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F43489" w:rsidRDefault="00F43489" w:rsidP="00021D64">
      <w:pPr>
        <w:pStyle w:val="NoSpacing"/>
      </w:pPr>
    </w:p>
    <w:p w:rsidR="00F43489" w:rsidRDefault="00F43489" w:rsidP="00021D64">
      <w:pPr>
        <w:pStyle w:val="NoSpacing"/>
      </w:pPr>
      <w:r>
        <w:rPr>
          <w:noProof/>
          <w:lang w:val="en-US"/>
        </w:rPr>
        <w:drawing>
          <wp:inline distT="0" distB="0" distL="0" distR="0" wp14:anchorId="47412DBF" wp14:editId="465657A9">
            <wp:extent cx="4572000" cy="2743200"/>
            <wp:effectExtent l="0" t="0" r="19050" b="19050"/>
            <wp:docPr id="47" name="Chart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F95044" w:rsidRDefault="00F95044" w:rsidP="00021D64">
      <w:pPr>
        <w:pStyle w:val="NoSpacing"/>
      </w:pPr>
    </w:p>
    <w:p w:rsidR="00021D64" w:rsidRDefault="00F43489" w:rsidP="00021D64">
      <w:pPr>
        <w:pStyle w:val="NoSpacing"/>
      </w:pPr>
      <w:r>
        <w:rPr>
          <w:noProof/>
          <w:lang w:val="en-US"/>
        </w:rPr>
        <w:lastRenderedPageBreak/>
        <w:drawing>
          <wp:inline distT="0" distB="0" distL="0" distR="0" wp14:anchorId="2D12C42F" wp14:editId="5ACF32EF">
            <wp:extent cx="4572000" cy="2743200"/>
            <wp:effectExtent l="0" t="0" r="19050" b="19050"/>
            <wp:docPr id="48" name="Chart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021D64" w:rsidRDefault="00021D64" w:rsidP="00021D64">
      <w:pPr>
        <w:pStyle w:val="NoSpacing"/>
      </w:pPr>
    </w:p>
    <w:p w:rsidR="00A87591" w:rsidRDefault="00A87591" w:rsidP="00021D64">
      <w:pPr>
        <w:pStyle w:val="NoSpacing"/>
      </w:pPr>
    </w:p>
    <w:p w:rsidR="00A0470D" w:rsidRPr="00A87591" w:rsidRDefault="00A87591" w:rsidP="00021D64">
      <w:pPr>
        <w:pStyle w:val="NoSpacing"/>
        <w:rPr>
          <w:i/>
        </w:rPr>
      </w:pPr>
      <w:r w:rsidRPr="00A87591">
        <w:rPr>
          <w:i/>
        </w:rPr>
        <w:t>Effect of harvest date on grain yield</w:t>
      </w:r>
    </w:p>
    <w:tbl>
      <w:tblPr>
        <w:tblW w:w="5000" w:type="pct"/>
        <w:tblBorders>
          <w:top w:val="single" w:sz="4" w:space="0" w:color="auto"/>
          <w:bottom w:val="single" w:sz="4" w:space="0" w:color="auto"/>
        </w:tblBorders>
        <w:tblLook w:val="04A0" w:firstRow="1" w:lastRow="0" w:firstColumn="1" w:lastColumn="0" w:noHBand="0" w:noVBand="1"/>
      </w:tblPr>
      <w:tblGrid>
        <w:gridCol w:w="3207"/>
        <w:gridCol w:w="3207"/>
        <w:gridCol w:w="3208"/>
      </w:tblGrid>
      <w:tr w:rsidR="00A0470D" w:rsidRPr="00A0470D" w:rsidTr="00A0470D">
        <w:trPr>
          <w:trHeight w:val="300"/>
        </w:trPr>
        <w:tc>
          <w:tcPr>
            <w:tcW w:w="1666" w:type="pct"/>
            <w:tcBorders>
              <w:top w:val="single" w:sz="4" w:space="0" w:color="auto"/>
              <w:bottom w:val="single" w:sz="4" w:space="0" w:color="auto"/>
            </w:tcBorders>
            <w:shd w:val="clear" w:color="auto" w:fill="auto"/>
            <w:noWrap/>
            <w:vAlign w:val="bottom"/>
            <w:hideMark/>
          </w:tcPr>
          <w:p w:rsidR="00A0470D" w:rsidRPr="00A0470D" w:rsidRDefault="00A0470D" w:rsidP="00A0470D">
            <w:pPr>
              <w:pStyle w:val="NoSpacing"/>
            </w:pPr>
          </w:p>
        </w:tc>
        <w:tc>
          <w:tcPr>
            <w:tcW w:w="1666" w:type="pct"/>
            <w:tcBorders>
              <w:top w:val="single" w:sz="4" w:space="0" w:color="auto"/>
              <w:bottom w:val="single" w:sz="4" w:space="0" w:color="auto"/>
            </w:tcBorders>
            <w:shd w:val="clear" w:color="auto" w:fill="auto"/>
            <w:noWrap/>
            <w:vAlign w:val="bottom"/>
            <w:hideMark/>
          </w:tcPr>
          <w:p w:rsidR="00A0470D" w:rsidRPr="00A0470D" w:rsidRDefault="00A0470D" w:rsidP="00A0470D">
            <w:pPr>
              <w:pStyle w:val="NoSpacing"/>
              <w:jc w:val="center"/>
            </w:pPr>
            <w:r>
              <w:t>Harvest mid-January</w:t>
            </w:r>
          </w:p>
        </w:tc>
        <w:tc>
          <w:tcPr>
            <w:tcW w:w="1667" w:type="pct"/>
            <w:tcBorders>
              <w:top w:val="single" w:sz="4" w:space="0" w:color="auto"/>
              <w:bottom w:val="single" w:sz="4" w:space="0" w:color="auto"/>
            </w:tcBorders>
            <w:shd w:val="clear" w:color="auto" w:fill="auto"/>
            <w:noWrap/>
            <w:vAlign w:val="bottom"/>
            <w:hideMark/>
          </w:tcPr>
          <w:p w:rsidR="00A0470D" w:rsidRPr="00A0470D" w:rsidRDefault="00A0470D" w:rsidP="00A0470D">
            <w:pPr>
              <w:pStyle w:val="NoSpacing"/>
              <w:jc w:val="center"/>
            </w:pPr>
            <w:r>
              <w:t>Harvest mid-February</w:t>
            </w:r>
          </w:p>
        </w:tc>
      </w:tr>
      <w:tr w:rsidR="00A0470D" w:rsidRPr="00A0470D" w:rsidTr="00A0470D">
        <w:trPr>
          <w:trHeight w:val="300"/>
        </w:trPr>
        <w:tc>
          <w:tcPr>
            <w:tcW w:w="1666" w:type="pct"/>
            <w:tcBorders>
              <w:top w:val="single" w:sz="4" w:space="0" w:color="auto"/>
            </w:tcBorders>
            <w:shd w:val="clear" w:color="auto" w:fill="auto"/>
            <w:noWrap/>
            <w:vAlign w:val="bottom"/>
            <w:hideMark/>
          </w:tcPr>
          <w:p w:rsidR="00A0470D" w:rsidRPr="00A0470D" w:rsidRDefault="00A0470D" w:rsidP="00A0470D">
            <w:pPr>
              <w:pStyle w:val="NoSpacing"/>
            </w:pPr>
            <w:proofErr w:type="spellStart"/>
            <w:r w:rsidRPr="00A0470D">
              <w:t>Namsoy</w:t>
            </w:r>
            <w:proofErr w:type="spellEnd"/>
          </w:p>
        </w:tc>
        <w:tc>
          <w:tcPr>
            <w:tcW w:w="1666" w:type="pct"/>
            <w:tcBorders>
              <w:top w:val="single" w:sz="4" w:space="0" w:color="auto"/>
            </w:tcBorders>
            <w:shd w:val="clear" w:color="auto" w:fill="auto"/>
            <w:noWrap/>
            <w:vAlign w:val="bottom"/>
            <w:hideMark/>
          </w:tcPr>
          <w:p w:rsidR="00A0470D" w:rsidRPr="00A0470D" w:rsidRDefault="00A0470D" w:rsidP="00A0470D">
            <w:pPr>
              <w:pStyle w:val="NoSpacing"/>
              <w:jc w:val="center"/>
            </w:pPr>
            <w:r w:rsidRPr="00A0470D">
              <w:t>546</w:t>
            </w:r>
            <w:r w:rsidR="00290D50">
              <w:t xml:space="preserve"> (n=5)</w:t>
            </w:r>
          </w:p>
        </w:tc>
        <w:tc>
          <w:tcPr>
            <w:tcW w:w="1667" w:type="pct"/>
            <w:tcBorders>
              <w:top w:val="single" w:sz="4" w:space="0" w:color="auto"/>
            </w:tcBorders>
            <w:shd w:val="clear" w:color="auto" w:fill="auto"/>
            <w:noWrap/>
            <w:vAlign w:val="bottom"/>
            <w:hideMark/>
          </w:tcPr>
          <w:p w:rsidR="00A0470D" w:rsidRPr="00A0470D" w:rsidRDefault="00A0470D" w:rsidP="00A0470D">
            <w:pPr>
              <w:pStyle w:val="NoSpacing"/>
              <w:jc w:val="center"/>
            </w:pPr>
            <w:r w:rsidRPr="00A0470D">
              <w:t>417</w:t>
            </w:r>
            <w:r w:rsidR="00290D50">
              <w:t xml:space="preserve"> (n=3)</w:t>
            </w:r>
          </w:p>
        </w:tc>
      </w:tr>
      <w:tr w:rsidR="00A0470D" w:rsidRPr="00A0470D" w:rsidTr="00A0470D">
        <w:trPr>
          <w:trHeight w:val="300"/>
        </w:trPr>
        <w:tc>
          <w:tcPr>
            <w:tcW w:w="1666" w:type="pct"/>
            <w:shd w:val="clear" w:color="auto" w:fill="auto"/>
            <w:noWrap/>
            <w:vAlign w:val="bottom"/>
            <w:hideMark/>
          </w:tcPr>
          <w:p w:rsidR="00A0470D" w:rsidRPr="00A0470D" w:rsidRDefault="00A0470D" w:rsidP="00A0470D">
            <w:pPr>
              <w:pStyle w:val="NoSpacing"/>
            </w:pPr>
            <w:proofErr w:type="spellStart"/>
            <w:r w:rsidRPr="00A0470D">
              <w:t>TGx</w:t>
            </w:r>
            <w:proofErr w:type="spellEnd"/>
            <w:r w:rsidRPr="00A0470D">
              <w:t xml:space="preserve"> 1987-62F</w:t>
            </w:r>
          </w:p>
        </w:tc>
        <w:tc>
          <w:tcPr>
            <w:tcW w:w="1666" w:type="pct"/>
            <w:shd w:val="clear" w:color="auto" w:fill="auto"/>
            <w:noWrap/>
            <w:vAlign w:val="bottom"/>
            <w:hideMark/>
          </w:tcPr>
          <w:p w:rsidR="00A0470D" w:rsidRPr="00A0470D" w:rsidRDefault="00A0470D" w:rsidP="00A0470D">
            <w:pPr>
              <w:pStyle w:val="NoSpacing"/>
              <w:jc w:val="center"/>
            </w:pPr>
            <w:r w:rsidRPr="00A0470D">
              <w:t>1314</w:t>
            </w:r>
            <w:r w:rsidR="00290D50">
              <w:t xml:space="preserve"> (n=4)</w:t>
            </w:r>
          </w:p>
        </w:tc>
        <w:tc>
          <w:tcPr>
            <w:tcW w:w="1667" w:type="pct"/>
            <w:shd w:val="clear" w:color="auto" w:fill="auto"/>
            <w:noWrap/>
            <w:vAlign w:val="bottom"/>
            <w:hideMark/>
          </w:tcPr>
          <w:p w:rsidR="00A0470D" w:rsidRPr="00A0470D" w:rsidRDefault="00A0470D" w:rsidP="00A0470D">
            <w:pPr>
              <w:pStyle w:val="NoSpacing"/>
              <w:jc w:val="center"/>
            </w:pPr>
            <w:r w:rsidRPr="00A0470D">
              <w:t>456</w:t>
            </w:r>
            <w:r w:rsidR="00290D50">
              <w:t xml:space="preserve"> (n=4)</w:t>
            </w:r>
          </w:p>
        </w:tc>
      </w:tr>
      <w:tr w:rsidR="00A0470D" w:rsidRPr="00A0470D" w:rsidTr="00A0470D">
        <w:trPr>
          <w:trHeight w:val="300"/>
        </w:trPr>
        <w:tc>
          <w:tcPr>
            <w:tcW w:w="1666" w:type="pct"/>
            <w:shd w:val="clear" w:color="auto" w:fill="auto"/>
            <w:noWrap/>
            <w:vAlign w:val="bottom"/>
            <w:hideMark/>
          </w:tcPr>
          <w:p w:rsidR="00A0470D" w:rsidRPr="00A0470D" w:rsidRDefault="00A0470D" w:rsidP="00A0470D">
            <w:pPr>
              <w:pStyle w:val="NoSpacing"/>
            </w:pPr>
            <w:proofErr w:type="spellStart"/>
            <w:r w:rsidRPr="00A0470D">
              <w:t>TGx</w:t>
            </w:r>
            <w:proofErr w:type="spellEnd"/>
            <w:r w:rsidRPr="00A0470D">
              <w:t xml:space="preserve"> 1987-6F</w:t>
            </w:r>
          </w:p>
        </w:tc>
        <w:tc>
          <w:tcPr>
            <w:tcW w:w="1666" w:type="pct"/>
            <w:shd w:val="clear" w:color="auto" w:fill="auto"/>
            <w:noWrap/>
            <w:vAlign w:val="bottom"/>
            <w:hideMark/>
          </w:tcPr>
          <w:p w:rsidR="00A0470D" w:rsidRPr="00A0470D" w:rsidRDefault="00A0470D" w:rsidP="00A0470D">
            <w:pPr>
              <w:pStyle w:val="NoSpacing"/>
              <w:jc w:val="center"/>
            </w:pPr>
            <w:r w:rsidRPr="00A0470D">
              <w:t>971</w:t>
            </w:r>
            <w:r w:rsidR="00290D50">
              <w:t xml:space="preserve"> (n=4)</w:t>
            </w:r>
          </w:p>
        </w:tc>
        <w:tc>
          <w:tcPr>
            <w:tcW w:w="1667" w:type="pct"/>
            <w:shd w:val="clear" w:color="auto" w:fill="auto"/>
            <w:noWrap/>
            <w:vAlign w:val="bottom"/>
            <w:hideMark/>
          </w:tcPr>
          <w:p w:rsidR="00A0470D" w:rsidRPr="00A0470D" w:rsidRDefault="00A0470D" w:rsidP="00A0470D">
            <w:pPr>
              <w:pStyle w:val="NoSpacing"/>
              <w:jc w:val="center"/>
            </w:pPr>
            <w:r w:rsidRPr="00A0470D">
              <w:t>488</w:t>
            </w:r>
            <w:r w:rsidR="00290D50">
              <w:t xml:space="preserve"> (n=4)</w:t>
            </w:r>
          </w:p>
        </w:tc>
      </w:tr>
    </w:tbl>
    <w:p w:rsidR="00A0470D" w:rsidRPr="00021D64" w:rsidRDefault="00A0470D" w:rsidP="00021D64">
      <w:pPr>
        <w:pStyle w:val="NoSpacing"/>
      </w:pPr>
    </w:p>
    <w:sectPr w:rsidR="00A0470D" w:rsidRPr="00021D64">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C6DAC"/>
    <w:multiLevelType w:val="hybridMultilevel"/>
    <w:tmpl w:val="52027124"/>
    <w:lvl w:ilvl="0" w:tplc="97D2E1DA">
      <w:start w:val="17"/>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90110F4"/>
    <w:multiLevelType w:val="hybridMultilevel"/>
    <w:tmpl w:val="6D363D26"/>
    <w:lvl w:ilvl="0" w:tplc="3C840704">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4DF"/>
    <w:rsid w:val="00021D64"/>
    <w:rsid w:val="00022F02"/>
    <w:rsid w:val="00035201"/>
    <w:rsid w:val="00040F19"/>
    <w:rsid w:val="00044B4D"/>
    <w:rsid w:val="00046B97"/>
    <w:rsid w:val="00080495"/>
    <w:rsid w:val="000A7341"/>
    <w:rsid w:val="000C0205"/>
    <w:rsid w:val="000D000C"/>
    <w:rsid w:val="001A56B4"/>
    <w:rsid w:val="001B6FEE"/>
    <w:rsid w:val="001E290B"/>
    <w:rsid w:val="002464DF"/>
    <w:rsid w:val="0027157E"/>
    <w:rsid w:val="00290D50"/>
    <w:rsid w:val="002D7381"/>
    <w:rsid w:val="002E4633"/>
    <w:rsid w:val="003159B3"/>
    <w:rsid w:val="00364EE9"/>
    <w:rsid w:val="003B7B34"/>
    <w:rsid w:val="00452055"/>
    <w:rsid w:val="00457C21"/>
    <w:rsid w:val="00470D17"/>
    <w:rsid w:val="004839EB"/>
    <w:rsid w:val="004B7A55"/>
    <w:rsid w:val="004D1AE0"/>
    <w:rsid w:val="004F4441"/>
    <w:rsid w:val="00521AA2"/>
    <w:rsid w:val="00543ACF"/>
    <w:rsid w:val="00544CED"/>
    <w:rsid w:val="006058C1"/>
    <w:rsid w:val="006113BF"/>
    <w:rsid w:val="006117CE"/>
    <w:rsid w:val="00633AED"/>
    <w:rsid w:val="006472CA"/>
    <w:rsid w:val="0069486A"/>
    <w:rsid w:val="006B4F6A"/>
    <w:rsid w:val="007149DE"/>
    <w:rsid w:val="0078435B"/>
    <w:rsid w:val="007849BE"/>
    <w:rsid w:val="0079660C"/>
    <w:rsid w:val="007A2117"/>
    <w:rsid w:val="0082554C"/>
    <w:rsid w:val="008A3C37"/>
    <w:rsid w:val="008D5C61"/>
    <w:rsid w:val="009C42C4"/>
    <w:rsid w:val="009F15CA"/>
    <w:rsid w:val="00A0470D"/>
    <w:rsid w:val="00A603AA"/>
    <w:rsid w:val="00A87591"/>
    <w:rsid w:val="00AB7529"/>
    <w:rsid w:val="00AE13A9"/>
    <w:rsid w:val="00AF2192"/>
    <w:rsid w:val="00B42B3B"/>
    <w:rsid w:val="00B60615"/>
    <w:rsid w:val="00B76866"/>
    <w:rsid w:val="00B8561E"/>
    <w:rsid w:val="00B8575F"/>
    <w:rsid w:val="00B87905"/>
    <w:rsid w:val="00B90060"/>
    <w:rsid w:val="00C37C89"/>
    <w:rsid w:val="00C70132"/>
    <w:rsid w:val="00CB541C"/>
    <w:rsid w:val="00D26D9E"/>
    <w:rsid w:val="00D620D5"/>
    <w:rsid w:val="00D9005D"/>
    <w:rsid w:val="00D97994"/>
    <w:rsid w:val="00DE7709"/>
    <w:rsid w:val="00E23AB1"/>
    <w:rsid w:val="00E615C0"/>
    <w:rsid w:val="00EA0B85"/>
    <w:rsid w:val="00EA4B25"/>
    <w:rsid w:val="00EF7A6B"/>
    <w:rsid w:val="00F125BA"/>
    <w:rsid w:val="00F31FF1"/>
    <w:rsid w:val="00F43489"/>
    <w:rsid w:val="00F83C03"/>
    <w:rsid w:val="00F950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464D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464DF"/>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2464DF"/>
    <w:pPr>
      <w:spacing w:after="0" w:line="240" w:lineRule="auto"/>
    </w:pPr>
    <w:rPr>
      <w:rFonts w:ascii="Verdana" w:hAnsi="Verdana"/>
      <w:sz w:val="17"/>
      <w:lang w:val="en-GB"/>
    </w:rPr>
  </w:style>
  <w:style w:type="paragraph" w:styleId="BalloonText">
    <w:name w:val="Balloon Text"/>
    <w:basedOn w:val="Normal"/>
    <w:link w:val="BalloonTextChar"/>
    <w:uiPriority w:val="99"/>
    <w:semiHidden/>
    <w:unhideWhenUsed/>
    <w:rsid w:val="00544C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4CED"/>
    <w:rPr>
      <w:rFonts w:ascii="Tahoma" w:hAnsi="Tahoma" w:cs="Tahoma"/>
      <w:sz w:val="16"/>
      <w:szCs w:val="16"/>
    </w:rPr>
  </w:style>
  <w:style w:type="paragraph" w:styleId="ListParagraph">
    <w:name w:val="List Paragraph"/>
    <w:basedOn w:val="Normal"/>
    <w:uiPriority w:val="34"/>
    <w:qFormat/>
    <w:rsid w:val="00D620D5"/>
    <w:pPr>
      <w:ind w:left="720"/>
      <w:contextualSpacing/>
    </w:pPr>
    <w:rPr>
      <w:rFonts w:ascii="Verdana" w:hAnsi="Verdana"/>
      <w:sz w:val="17"/>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464D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464DF"/>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2464DF"/>
    <w:pPr>
      <w:spacing w:after="0" w:line="240" w:lineRule="auto"/>
    </w:pPr>
    <w:rPr>
      <w:rFonts w:ascii="Verdana" w:hAnsi="Verdana"/>
      <w:sz w:val="17"/>
      <w:lang w:val="en-GB"/>
    </w:rPr>
  </w:style>
  <w:style w:type="paragraph" w:styleId="BalloonText">
    <w:name w:val="Balloon Text"/>
    <w:basedOn w:val="Normal"/>
    <w:link w:val="BalloonTextChar"/>
    <w:uiPriority w:val="99"/>
    <w:semiHidden/>
    <w:unhideWhenUsed/>
    <w:rsid w:val="00544C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4CED"/>
    <w:rPr>
      <w:rFonts w:ascii="Tahoma" w:hAnsi="Tahoma" w:cs="Tahoma"/>
      <w:sz w:val="16"/>
      <w:szCs w:val="16"/>
    </w:rPr>
  </w:style>
  <w:style w:type="paragraph" w:styleId="ListParagraph">
    <w:name w:val="List Paragraph"/>
    <w:basedOn w:val="Normal"/>
    <w:uiPriority w:val="34"/>
    <w:qFormat/>
    <w:rsid w:val="00D620D5"/>
    <w:pPr>
      <w:ind w:left="720"/>
      <w:contextualSpacing/>
    </w:pPr>
    <w:rPr>
      <w:rFonts w:ascii="Verdana" w:hAnsi="Verdana"/>
      <w:sz w:val="17"/>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549506">
      <w:bodyDiv w:val="1"/>
      <w:marLeft w:val="0"/>
      <w:marRight w:val="0"/>
      <w:marTop w:val="0"/>
      <w:marBottom w:val="0"/>
      <w:divBdr>
        <w:top w:val="none" w:sz="0" w:space="0" w:color="auto"/>
        <w:left w:val="none" w:sz="0" w:space="0" w:color="auto"/>
        <w:bottom w:val="none" w:sz="0" w:space="0" w:color="auto"/>
        <w:right w:val="none" w:sz="0" w:space="0" w:color="auto"/>
      </w:divBdr>
    </w:div>
    <w:div w:id="172651558">
      <w:bodyDiv w:val="1"/>
      <w:marLeft w:val="0"/>
      <w:marRight w:val="0"/>
      <w:marTop w:val="0"/>
      <w:marBottom w:val="0"/>
      <w:divBdr>
        <w:top w:val="none" w:sz="0" w:space="0" w:color="auto"/>
        <w:left w:val="none" w:sz="0" w:space="0" w:color="auto"/>
        <w:bottom w:val="none" w:sz="0" w:space="0" w:color="auto"/>
        <w:right w:val="none" w:sz="0" w:space="0" w:color="auto"/>
      </w:divBdr>
    </w:div>
    <w:div w:id="190001683">
      <w:bodyDiv w:val="1"/>
      <w:marLeft w:val="0"/>
      <w:marRight w:val="0"/>
      <w:marTop w:val="0"/>
      <w:marBottom w:val="0"/>
      <w:divBdr>
        <w:top w:val="none" w:sz="0" w:space="0" w:color="auto"/>
        <w:left w:val="none" w:sz="0" w:space="0" w:color="auto"/>
        <w:bottom w:val="none" w:sz="0" w:space="0" w:color="auto"/>
        <w:right w:val="none" w:sz="0" w:space="0" w:color="auto"/>
      </w:divBdr>
    </w:div>
    <w:div w:id="312611054">
      <w:bodyDiv w:val="1"/>
      <w:marLeft w:val="0"/>
      <w:marRight w:val="0"/>
      <w:marTop w:val="0"/>
      <w:marBottom w:val="0"/>
      <w:divBdr>
        <w:top w:val="none" w:sz="0" w:space="0" w:color="auto"/>
        <w:left w:val="none" w:sz="0" w:space="0" w:color="auto"/>
        <w:bottom w:val="none" w:sz="0" w:space="0" w:color="auto"/>
        <w:right w:val="none" w:sz="0" w:space="0" w:color="auto"/>
      </w:divBdr>
    </w:div>
    <w:div w:id="405765824">
      <w:bodyDiv w:val="1"/>
      <w:marLeft w:val="0"/>
      <w:marRight w:val="0"/>
      <w:marTop w:val="0"/>
      <w:marBottom w:val="0"/>
      <w:divBdr>
        <w:top w:val="none" w:sz="0" w:space="0" w:color="auto"/>
        <w:left w:val="none" w:sz="0" w:space="0" w:color="auto"/>
        <w:bottom w:val="none" w:sz="0" w:space="0" w:color="auto"/>
        <w:right w:val="none" w:sz="0" w:space="0" w:color="auto"/>
      </w:divBdr>
    </w:div>
    <w:div w:id="421724430">
      <w:bodyDiv w:val="1"/>
      <w:marLeft w:val="0"/>
      <w:marRight w:val="0"/>
      <w:marTop w:val="0"/>
      <w:marBottom w:val="0"/>
      <w:divBdr>
        <w:top w:val="none" w:sz="0" w:space="0" w:color="auto"/>
        <w:left w:val="none" w:sz="0" w:space="0" w:color="auto"/>
        <w:bottom w:val="none" w:sz="0" w:space="0" w:color="auto"/>
        <w:right w:val="none" w:sz="0" w:space="0" w:color="auto"/>
      </w:divBdr>
    </w:div>
    <w:div w:id="479998897">
      <w:bodyDiv w:val="1"/>
      <w:marLeft w:val="0"/>
      <w:marRight w:val="0"/>
      <w:marTop w:val="0"/>
      <w:marBottom w:val="0"/>
      <w:divBdr>
        <w:top w:val="none" w:sz="0" w:space="0" w:color="auto"/>
        <w:left w:val="none" w:sz="0" w:space="0" w:color="auto"/>
        <w:bottom w:val="none" w:sz="0" w:space="0" w:color="auto"/>
        <w:right w:val="none" w:sz="0" w:space="0" w:color="auto"/>
      </w:divBdr>
    </w:div>
    <w:div w:id="516430731">
      <w:bodyDiv w:val="1"/>
      <w:marLeft w:val="0"/>
      <w:marRight w:val="0"/>
      <w:marTop w:val="0"/>
      <w:marBottom w:val="0"/>
      <w:divBdr>
        <w:top w:val="none" w:sz="0" w:space="0" w:color="auto"/>
        <w:left w:val="none" w:sz="0" w:space="0" w:color="auto"/>
        <w:bottom w:val="none" w:sz="0" w:space="0" w:color="auto"/>
        <w:right w:val="none" w:sz="0" w:space="0" w:color="auto"/>
      </w:divBdr>
    </w:div>
    <w:div w:id="611471378">
      <w:bodyDiv w:val="1"/>
      <w:marLeft w:val="0"/>
      <w:marRight w:val="0"/>
      <w:marTop w:val="0"/>
      <w:marBottom w:val="0"/>
      <w:divBdr>
        <w:top w:val="none" w:sz="0" w:space="0" w:color="auto"/>
        <w:left w:val="none" w:sz="0" w:space="0" w:color="auto"/>
        <w:bottom w:val="none" w:sz="0" w:space="0" w:color="auto"/>
        <w:right w:val="none" w:sz="0" w:space="0" w:color="auto"/>
      </w:divBdr>
    </w:div>
    <w:div w:id="685139220">
      <w:bodyDiv w:val="1"/>
      <w:marLeft w:val="0"/>
      <w:marRight w:val="0"/>
      <w:marTop w:val="0"/>
      <w:marBottom w:val="0"/>
      <w:divBdr>
        <w:top w:val="none" w:sz="0" w:space="0" w:color="auto"/>
        <w:left w:val="none" w:sz="0" w:space="0" w:color="auto"/>
        <w:bottom w:val="none" w:sz="0" w:space="0" w:color="auto"/>
        <w:right w:val="none" w:sz="0" w:space="0" w:color="auto"/>
      </w:divBdr>
    </w:div>
    <w:div w:id="708845926">
      <w:bodyDiv w:val="1"/>
      <w:marLeft w:val="0"/>
      <w:marRight w:val="0"/>
      <w:marTop w:val="0"/>
      <w:marBottom w:val="0"/>
      <w:divBdr>
        <w:top w:val="none" w:sz="0" w:space="0" w:color="auto"/>
        <w:left w:val="none" w:sz="0" w:space="0" w:color="auto"/>
        <w:bottom w:val="none" w:sz="0" w:space="0" w:color="auto"/>
        <w:right w:val="none" w:sz="0" w:space="0" w:color="auto"/>
      </w:divBdr>
    </w:div>
    <w:div w:id="760494075">
      <w:bodyDiv w:val="1"/>
      <w:marLeft w:val="0"/>
      <w:marRight w:val="0"/>
      <w:marTop w:val="0"/>
      <w:marBottom w:val="0"/>
      <w:divBdr>
        <w:top w:val="none" w:sz="0" w:space="0" w:color="auto"/>
        <w:left w:val="none" w:sz="0" w:space="0" w:color="auto"/>
        <w:bottom w:val="none" w:sz="0" w:space="0" w:color="auto"/>
        <w:right w:val="none" w:sz="0" w:space="0" w:color="auto"/>
      </w:divBdr>
    </w:div>
    <w:div w:id="768358600">
      <w:bodyDiv w:val="1"/>
      <w:marLeft w:val="0"/>
      <w:marRight w:val="0"/>
      <w:marTop w:val="0"/>
      <w:marBottom w:val="0"/>
      <w:divBdr>
        <w:top w:val="none" w:sz="0" w:space="0" w:color="auto"/>
        <w:left w:val="none" w:sz="0" w:space="0" w:color="auto"/>
        <w:bottom w:val="none" w:sz="0" w:space="0" w:color="auto"/>
        <w:right w:val="none" w:sz="0" w:space="0" w:color="auto"/>
      </w:divBdr>
    </w:div>
    <w:div w:id="893657139">
      <w:bodyDiv w:val="1"/>
      <w:marLeft w:val="0"/>
      <w:marRight w:val="0"/>
      <w:marTop w:val="0"/>
      <w:marBottom w:val="0"/>
      <w:divBdr>
        <w:top w:val="none" w:sz="0" w:space="0" w:color="auto"/>
        <w:left w:val="none" w:sz="0" w:space="0" w:color="auto"/>
        <w:bottom w:val="none" w:sz="0" w:space="0" w:color="auto"/>
        <w:right w:val="none" w:sz="0" w:space="0" w:color="auto"/>
      </w:divBdr>
    </w:div>
    <w:div w:id="947355212">
      <w:bodyDiv w:val="1"/>
      <w:marLeft w:val="0"/>
      <w:marRight w:val="0"/>
      <w:marTop w:val="0"/>
      <w:marBottom w:val="0"/>
      <w:divBdr>
        <w:top w:val="none" w:sz="0" w:space="0" w:color="auto"/>
        <w:left w:val="none" w:sz="0" w:space="0" w:color="auto"/>
        <w:bottom w:val="none" w:sz="0" w:space="0" w:color="auto"/>
        <w:right w:val="none" w:sz="0" w:space="0" w:color="auto"/>
      </w:divBdr>
    </w:div>
    <w:div w:id="956713327">
      <w:bodyDiv w:val="1"/>
      <w:marLeft w:val="0"/>
      <w:marRight w:val="0"/>
      <w:marTop w:val="0"/>
      <w:marBottom w:val="0"/>
      <w:divBdr>
        <w:top w:val="none" w:sz="0" w:space="0" w:color="auto"/>
        <w:left w:val="none" w:sz="0" w:space="0" w:color="auto"/>
        <w:bottom w:val="none" w:sz="0" w:space="0" w:color="auto"/>
        <w:right w:val="none" w:sz="0" w:space="0" w:color="auto"/>
      </w:divBdr>
    </w:div>
    <w:div w:id="1058094883">
      <w:bodyDiv w:val="1"/>
      <w:marLeft w:val="0"/>
      <w:marRight w:val="0"/>
      <w:marTop w:val="0"/>
      <w:marBottom w:val="0"/>
      <w:divBdr>
        <w:top w:val="none" w:sz="0" w:space="0" w:color="auto"/>
        <w:left w:val="none" w:sz="0" w:space="0" w:color="auto"/>
        <w:bottom w:val="none" w:sz="0" w:space="0" w:color="auto"/>
        <w:right w:val="none" w:sz="0" w:space="0" w:color="auto"/>
      </w:divBdr>
    </w:div>
    <w:div w:id="1087312763">
      <w:bodyDiv w:val="1"/>
      <w:marLeft w:val="0"/>
      <w:marRight w:val="0"/>
      <w:marTop w:val="0"/>
      <w:marBottom w:val="0"/>
      <w:divBdr>
        <w:top w:val="none" w:sz="0" w:space="0" w:color="auto"/>
        <w:left w:val="none" w:sz="0" w:space="0" w:color="auto"/>
        <w:bottom w:val="none" w:sz="0" w:space="0" w:color="auto"/>
        <w:right w:val="none" w:sz="0" w:space="0" w:color="auto"/>
      </w:divBdr>
    </w:div>
    <w:div w:id="1110318818">
      <w:bodyDiv w:val="1"/>
      <w:marLeft w:val="0"/>
      <w:marRight w:val="0"/>
      <w:marTop w:val="0"/>
      <w:marBottom w:val="0"/>
      <w:divBdr>
        <w:top w:val="none" w:sz="0" w:space="0" w:color="auto"/>
        <w:left w:val="none" w:sz="0" w:space="0" w:color="auto"/>
        <w:bottom w:val="none" w:sz="0" w:space="0" w:color="auto"/>
        <w:right w:val="none" w:sz="0" w:space="0" w:color="auto"/>
      </w:divBdr>
    </w:div>
    <w:div w:id="1182432287">
      <w:bodyDiv w:val="1"/>
      <w:marLeft w:val="0"/>
      <w:marRight w:val="0"/>
      <w:marTop w:val="0"/>
      <w:marBottom w:val="0"/>
      <w:divBdr>
        <w:top w:val="none" w:sz="0" w:space="0" w:color="auto"/>
        <w:left w:val="none" w:sz="0" w:space="0" w:color="auto"/>
        <w:bottom w:val="none" w:sz="0" w:space="0" w:color="auto"/>
        <w:right w:val="none" w:sz="0" w:space="0" w:color="auto"/>
      </w:divBdr>
    </w:div>
    <w:div w:id="1257057436">
      <w:bodyDiv w:val="1"/>
      <w:marLeft w:val="0"/>
      <w:marRight w:val="0"/>
      <w:marTop w:val="0"/>
      <w:marBottom w:val="0"/>
      <w:divBdr>
        <w:top w:val="none" w:sz="0" w:space="0" w:color="auto"/>
        <w:left w:val="none" w:sz="0" w:space="0" w:color="auto"/>
        <w:bottom w:val="none" w:sz="0" w:space="0" w:color="auto"/>
        <w:right w:val="none" w:sz="0" w:space="0" w:color="auto"/>
      </w:divBdr>
    </w:div>
    <w:div w:id="1410350542">
      <w:bodyDiv w:val="1"/>
      <w:marLeft w:val="0"/>
      <w:marRight w:val="0"/>
      <w:marTop w:val="0"/>
      <w:marBottom w:val="0"/>
      <w:divBdr>
        <w:top w:val="none" w:sz="0" w:space="0" w:color="auto"/>
        <w:left w:val="none" w:sz="0" w:space="0" w:color="auto"/>
        <w:bottom w:val="none" w:sz="0" w:space="0" w:color="auto"/>
        <w:right w:val="none" w:sz="0" w:space="0" w:color="auto"/>
      </w:divBdr>
    </w:div>
    <w:div w:id="1577278564">
      <w:bodyDiv w:val="1"/>
      <w:marLeft w:val="0"/>
      <w:marRight w:val="0"/>
      <w:marTop w:val="0"/>
      <w:marBottom w:val="0"/>
      <w:divBdr>
        <w:top w:val="none" w:sz="0" w:space="0" w:color="auto"/>
        <w:left w:val="none" w:sz="0" w:space="0" w:color="auto"/>
        <w:bottom w:val="none" w:sz="0" w:space="0" w:color="auto"/>
        <w:right w:val="none" w:sz="0" w:space="0" w:color="auto"/>
      </w:divBdr>
    </w:div>
    <w:div w:id="1588146941">
      <w:bodyDiv w:val="1"/>
      <w:marLeft w:val="0"/>
      <w:marRight w:val="0"/>
      <w:marTop w:val="0"/>
      <w:marBottom w:val="0"/>
      <w:divBdr>
        <w:top w:val="none" w:sz="0" w:space="0" w:color="auto"/>
        <w:left w:val="none" w:sz="0" w:space="0" w:color="auto"/>
        <w:bottom w:val="none" w:sz="0" w:space="0" w:color="auto"/>
        <w:right w:val="none" w:sz="0" w:space="0" w:color="auto"/>
      </w:divBdr>
    </w:div>
    <w:div w:id="1659726486">
      <w:bodyDiv w:val="1"/>
      <w:marLeft w:val="0"/>
      <w:marRight w:val="0"/>
      <w:marTop w:val="0"/>
      <w:marBottom w:val="0"/>
      <w:divBdr>
        <w:top w:val="none" w:sz="0" w:space="0" w:color="auto"/>
        <w:left w:val="none" w:sz="0" w:space="0" w:color="auto"/>
        <w:bottom w:val="none" w:sz="0" w:space="0" w:color="auto"/>
        <w:right w:val="none" w:sz="0" w:space="0" w:color="auto"/>
      </w:divBdr>
    </w:div>
    <w:div w:id="1675379078">
      <w:bodyDiv w:val="1"/>
      <w:marLeft w:val="0"/>
      <w:marRight w:val="0"/>
      <w:marTop w:val="0"/>
      <w:marBottom w:val="0"/>
      <w:divBdr>
        <w:top w:val="none" w:sz="0" w:space="0" w:color="auto"/>
        <w:left w:val="none" w:sz="0" w:space="0" w:color="auto"/>
        <w:bottom w:val="none" w:sz="0" w:space="0" w:color="auto"/>
        <w:right w:val="none" w:sz="0" w:space="0" w:color="auto"/>
      </w:divBdr>
    </w:div>
    <w:div w:id="1877086987">
      <w:bodyDiv w:val="1"/>
      <w:marLeft w:val="0"/>
      <w:marRight w:val="0"/>
      <w:marTop w:val="0"/>
      <w:marBottom w:val="0"/>
      <w:divBdr>
        <w:top w:val="none" w:sz="0" w:space="0" w:color="auto"/>
        <w:left w:val="none" w:sz="0" w:space="0" w:color="auto"/>
        <w:bottom w:val="none" w:sz="0" w:space="0" w:color="auto"/>
        <w:right w:val="none" w:sz="0" w:space="0" w:color="auto"/>
      </w:divBdr>
    </w:div>
    <w:div w:id="1906376777">
      <w:bodyDiv w:val="1"/>
      <w:marLeft w:val="0"/>
      <w:marRight w:val="0"/>
      <w:marTop w:val="0"/>
      <w:marBottom w:val="0"/>
      <w:divBdr>
        <w:top w:val="none" w:sz="0" w:space="0" w:color="auto"/>
        <w:left w:val="none" w:sz="0" w:space="0" w:color="auto"/>
        <w:bottom w:val="none" w:sz="0" w:space="0" w:color="auto"/>
        <w:right w:val="none" w:sz="0" w:space="0" w:color="auto"/>
      </w:divBdr>
    </w:div>
    <w:div w:id="2021739635">
      <w:bodyDiv w:val="1"/>
      <w:marLeft w:val="0"/>
      <w:marRight w:val="0"/>
      <w:marTop w:val="0"/>
      <w:marBottom w:val="0"/>
      <w:divBdr>
        <w:top w:val="none" w:sz="0" w:space="0" w:color="auto"/>
        <w:left w:val="none" w:sz="0" w:space="0" w:color="auto"/>
        <w:bottom w:val="none" w:sz="0" w:space="0" w:color="auto"/>
        <w:right w:val="none" w:sz="0" w:space="0" w:color="auto"/>
      </w:divBdr>
    </w:div>
    <w:div w:id="2047291117">
      <w:bodyDiv w:val="1"/>
      <w:marLeft w:val="0"/>
      <w:marRight w:val="0"/>
      <w:marTop w:val="0"/>
      <w:marBottom w:val="0"/>
      <w:divBdr>
        <w:top w:val="none" w:sz="0" w:space="0" w:color="auto"/>
        <w:left w:val="none" w:sz="0" w:space="0" w:color="auto"/>
        <w:bottom w:val="none" w:sz="0" w:space="0" w:color="auto"/>
        <w:right w:val="none" w:sz="0" w:space="0" w:color="auto"/>
      </w:divBdr>
    </w:div>
    <w:div w:id="2056004298">
      <w:bodyDiv w:val="1"/>
      <w:marLeft w:val="0"/>
      <w:marRight w:val="0"/>
      <w:marTop w:val="0"/>
      <w:marBottom w:val="0"/>
      <w:divBdr>
        <w:top w:val="none" w:sz="0" w:space="0" w:color="auto"/>
        <w:left w:val="none" w:sz="0" w:space="0" w:color="auto"/>
        <w:bottom w:val="none" w:sz="0" w:space="0" w:color="auto"/>
        <w:right w:val="none" w:sz="0" w:space="0" w:color="auto"/>
      </w:divBdr>
    </w:div>
    <w:div w:id="2068339992">
      <w:bodyDiv w:val="1"/>
      <w:marLeft w:val="0"/>
      <w:marRight w:val="0"/>
      <w:marTop w:val="0"/>
      <w:marBottom w:val="0"/>
      <w:divBdr>
        <w:top w:val="none" w:sz="0" w:space="0" w:color="auto"/>
        <w:left w:val="none" w:sz="0" w:space="0" w:color="auto"/>
        <w:bottom w:val="none" w:sz="0" w:space="0" w:color="auto"/>
        <w:right w:val="none" w:sz="0" w:space="0" w:color="auto"/>
      </w:divBdr>
    </w:div>
    <w:div w:id="2102679330">
      <w:bodyDiv w:val="1"/>
      <w:marLeft w:val="0"/>
      <w:marRight w:val="0"/>
      <w:marTop w:val="0"/>
      <w:marBottom w:val="0"/>
      <w:divBdr>
        <w:top w:val="none" w:sz="0" w:space="0" w:color="auto"/>
        <w:left w:val="none" w:sz="0" w:space="0" w:color="auto"/>
        <w:bottom w:val="none" w:sz="0" w:space="0" w:color="auto"/>
        <w:right w:val="none" w:sz="0" w:space="0" w:color="auto"/>
      </w:divBdr>
    </w:div>
    <w:div w:id="2117796569">
      <w:bodyDiv w:val="1"/>
      <w:marLeft w:val="0"/>
      <w:marRight w:val="0"/>
      <w:marTop w:val="0"/>
      <w:marBottom w:val="0"/>
      <w:divBdr>
        <w:top w:val="none" w:sz="0" w:space="0" w:color="auto"/>
        <w:left w:val="none" w:sz="0" w:space="0" w:color="auto"/>
        <w:bottom w:val="none" w:sz="0" w:space="0" w:color="auto"/>
        <w:right w:val="none" w:sz="0" w:space="0" w:color="auto"/>
      </w:divBdr>
    </w:div>
    <w:div w:id="211983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18" Type="http://schemas.openxmlformats.org/officeDocument/2006/relationships/chart" Target="charts/chart13.xml"/><Relationship Id="rId26" Type="http://schemas.openxmlformats.org/officeDocument/2006/relationships/chart" Target="charts/chart21.xml"/><Relationship Id="rId39" Type="http://schemas.openxmlformats.org/officeDocument/2006/relationships/chart" Target="charts/chart34.xml"/><Relationship Id="rId3" Type="http://schemas.microsoft.com/office/2007/relationships/stylesWithEffects" Target="stylesWithEffects.xml"/><Relationship Id="rId21" Type="http://schemas.openxmlformats.org/officeDocument/2006/relationships/chart" Target="charts/chart16.xml"/><Relationship Id="rId34" Type="http://schemas.openxmlformats.org/officeDocument/2006/relationships/chart" Target="charts/chart29.xml"/><Relationship Id="rId42" Type="http://schemas.openxmlformats.org/officeDocument/2006/relationships/chart" Target="charts/chart37.xm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chart" Target="charts/chart12.xml"/><Relationship Id="rId25" Type="http://schemas.openxmlformats.org/officeDocument/2006/relationships/chart" Target="charts/chart20.xml"/><Relationship Id="rId33" Type="http://schemas.openxmlformats.org/officeDocument/2006/relationships/chart" Target="charts/chart28.xml"/><Relationship Id="rId38" Type="http://schemas.openxmlformats.org/officeDocument/2006/relationships/chart" Target="charts/chart33.xm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hart" Target="charts/chart11.xml"/><Relationship Id="rId20" Type="http://schemas.openxmlformats.org/officeDocument/2006/relationships/chart" Target="charts/chart15.xml"/><Relationship Id="rId29" Type="http://schemas.openxmlformats.org/officeDocument/2006/relationships/chart" Target="charts/chart24.xml"/><Relationship Id="rId41" Type="http://schemas.openxmlformats.org/officeDocument/2006/relationships/chart" Target="charts/chart36.xm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chart" Target="charts/chart6.xml"/><Relationship Id="rId24" Type="http://schemas.openxmlformats.org/officeDocument/2006/relationships/chart" Target="charts/chart19.xml"/><Relationship Id="rId32" Type="http://schemas.openxmlformats.org/officeDocument/2006/relationships/chart" Target="charts/chart27.xml"/><Relationship Id="rId37" Type="http://schemas.openxmlformats.org/officeDocument/2006/relationships/chart" Target="charts/chart32.xml"/><Relationship Id="rId40" Type="http://schemas.openxmlformats.org/officeDocument/2006/relationships/chart" Target="charts/chart35.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10.xml"/><Relationship Id="rId23" Type="http://schemas.openxmlformats.org/officeDocument/2006/relationships/chart" Target="charts/chart18.xml"/><Relationship Id="rId28" Type="http://schemas.openxmlformats.org/officeDocument/2006/relationships/chart" Target="charts/chart23.xml"/><Relationship Id="rId36" Type="http://schemas.openxmlformats.org/officeDocument/2006/relationships/chart" Target="charts/chart31.xml"/><Relationship Id="rId10" Type="http://schemas.openxmlformats.org/officeDocument/2006/relationships/chart" Target="charts/chart5.xml"/><Relationship Id="rId19" Type="http://schemas.openxmlformats.org/officeDocument/2006/relationships/chart" Target="charts/chart14.xml"/><Relationship Id="rId31" Type="http://schemas.openxmlformats.org/officeDocument/2006/relationships/chart" Target="charts/chart26.xml"/><Relationship Id="rId44" Type="http://schemas.openxmlformats.org/officeDocument/2006/relationships/chart" Target="charts/chart39.xml"/><Relationship Id="rId4" Type="http://schemas.openxmlformats.org/officeDocument/2006/relationships/settings" Target="settings.xml"/><Relationship Id="rId9" Type="http://schemas.openxmlformats.org/officeDocument/2006/relationships/chart" Target="charts/chart4.xml"/><Relationship Id="rId14" Type="http://schemas.openxmlformats.org/officeDocument/2006/relationships/chart" Target="charts/chart9.xml"/><Relationship Id="rId22" Type="http://schemas.openxmlformats.org/officeDocument/2006/relationships/chart" Target="charts/chart17.xml"/><Relationship Id="rId27" Type="http://schemas.openxmlformats.org/officeDocument/2006/relationships/chart" Target="charts/chart22.xml"/><Relationship Id="rId30" Type="http://schemas.openxmlformats.org/officeDocument/2006/relationships/chart" Target="charts/chart25.xml"/><Relationship Id="rId35" Type="http://schemas.openxmlformats.org/officeDocument/2006/relationships/chart" Target="charts/chart30.xml"/><Relationship Id="rId43" Type="http://schemas.openxmlformats.org/officeDocument/2006/relationships/chart" Target="charts/chart38.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1%20SR%202011%20INPUT%20CB%20-%20MIGORI.xls"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1%20SR%202011%20INPUT%20SB%20-%20BUTERE.xls"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1%20SR%202011%20INPUT%20SB%20-%20BUTERE.xls"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1%20SR%202011%20INPUT%20SB%20-%20BUTERE.xls"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2%20SR%202011%20INPUT%20SB%20-%20MIGORI.xls"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2%20SR%202011%20INPUT%20SB%20-%20MIGORI.xls"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2%20SR%202011%20INPUT%20SB%20-%20MIGORI.xls"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2%20SR%202011%20INPUT%20SB%20-%20MIGORI.xls"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2%20SR%202011%20INPUT%20SB%20-%20MIGORI.xls"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2%20SR%202011%20INPUT%20SB%20-%20MIGORI.xls"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1%20SR%202011%20VAR%20CB%20-%20MIGORI.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1%20SR%202011%20INPUT%20CB%20-%20MIGORI.xls"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1%20SR%202011%20VAR%20CB%20-%20MIGORI.xls"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1%20SR%202011%20VAR%20CB%20-%20MIGORI.xls"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1%20SR%202011VAR%20III%20BB%20KAKAMEGA.xls"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1%20SR%202011VAR%20III%20BB%20KAKAMEGA.xls"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1%20SR%202011VAR%20III%20BB%20KAKAMEGA.xls"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1%20SR%202011%20VAR%20SB%20-KISUMU%20WEST1%20(2).xls"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1%20SR%202011%20VAR%20SB%20-KISUMU%20WEST1%20(2).xls"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1%20SR%202011%20VAR%20SB%20-KISUMU%20WEST1%20(2).xls"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1%20SR%202011RUST%20EVAL%20MIGORI%20-7.3.2012.xls"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1%20SR%202011RUST%20EVAL%20MIGORI%20-7.3.2012.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1%20SR%202011%20INPUT%20CB%20-%20MIGORI.xls"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1%20SR%202011RUST%20EVAL%20MIGORI%20-7.3.2012.xls"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1%20SR%202011RUST%20EVAL%20MIGORI%20-7.3.2012.xls" TargetMode="External"/></Relationships>
</file>

<file path=word/charts/_rels/chart32.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1%20SR%202011RUST%20EVAL%20MUMIAS.xls" TargetMode="External"/></Relationships>
</file>

<file path=word/charts/_rels/chart33.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1%20SR%202011RUST%20EVAL%20MUMIAS.xls" TargetMode="External"/></Relationships>
</file>

<file path=word/charts/_rels/chart34.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1%20SR%202011RUST%20EVAL%20MUMIAS.xls" TargetMode="External"/></Relationships>
</file>

<file path=word/charts/_rels/chart35.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1%20SR%202011RUST%20EVAL%20MUMIAS.xls" TargetMode="External"/></Relationships>
</file>

<file path=word/charts/_rels/chart36.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1%20SR%202011RUST%20EVAL%20TESO.xls" TargetMode="External"/></Relationships>
</file>

<file path=word/charts/_rels/chart37.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1%20SR%202011RUST%20EVAL%20TESO.xls" TargetMode="External"/></Relationships>
</file>

<file path=word/charts/_rels/chart38.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1%20SR%202011RUST%20EVAL%20TESO.xls" TargetMode="External"/></Relationships>
</file>

<file path=word/charts/_rels/chart39.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1%20SR%202011RUST%20EVAL%20TESO.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1%20SR%202011%20INPUT%20CB%20-%20MIGORI.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1%20SR%202011%20INPUT%20CB%20-%20MIGORI.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1%20SR%202011%20INPUT%20CB%20-%20MIGORI.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1%20SR%202011%20INPUT%20SB%20-%20BUTERE.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1%20SR%202011%20INPUT%20SB%20-%20BUTERE.xls"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Esther\Documents\WUR\N2AFRICA\Data\Agronomy%20trials%20Kenya%20SR%202011\KE001%20SR%202011%20INPUT%20SB%20-%20BUTERE.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analysis!$AJ$18</c:f>
              <c:strCache>
                <c:ptCount val="1"/>
                <c:pt idx="0">
                  <c:v> - inoc</c:v>
                </c:pt>
              </c:strCache>
            </c:strRef>
          </c:tx>
          <c:invertIfNegative val="0"/>
          <c:errBars>
            <c:errBarType val="both"/>
            <c:errValType val="cust"/>
            <c:noEndCap val="0"/>
            <c:plus>
              <c:numRef>
                <c:f>analysis!$AP$19:$AP$25</c:f>
                <c:numCache>
                  <c:formatCode>General</c:formatCode>
                  <c:ptCount val="7"/>
                  <c:pt idx="0">
                    <c:v>9.0061707240709762E-2</c:v>
                  </c:pt>
                  <c:pt idx="1">
                    <c:v>0.28567658481421171</c:v>
                  </c:pt>
                  <c:pt idx="2">
                    <c:v>0.21054016361214076</c:v>
                  </c:pt>
                  <c:pt idx="3">
                    <c:v>0.15168294580928554</c:v>
                  </c:pt>
                  <c:pt idx="4">
                    <c:v>0.18439088914585805</c:v>
                  </c:pt>
                  <c:pt idx="5">
                    <c:v>0.15275252316519422</c:v>
                  </c:pt>
                  <c:pt idx="6">
                    <c:v>0.31728010758108782</c:v>
                  </c:pt>
                </c:numCache>
              </c:numRef>
            </c:plus>
            <c:minus>
              <c:numRef>
                <c:f>analysis!$AP$19:$AP$25</c:f>
                <c:numCache>
                  <c:formatCode>General</c:formatCode>
                  <c:ptCount val="7"/>
                  <c:pt idx="0">
                    <c:v>9.0061707240709762E-2</c:v>
                  </c:pt>
                  <c:pt idx="1">
                    <c:v>0.28567658481421171</c:v>
                  </c:pt>
                  <c:pt idx="2">
                    <c:v>0.21054016361214076</c:v>
                  </c:pt>
                  <c:pt idx="3">
                    <c:v>0.15168294580928554</c:v>
                  </c:pt>
                  <c:pt idx="4">
                    <c:v>0.18439088914585805</c:v>
                  </c:pt>
                  <c:pt idx="5">
                    <c:v>0.15275252316519422</c:v>
                  </c:pt>
                  <c:pt idx="6">
                    <c:v>0.31728010758108782</c:v>
                  </c:pt>
                </c:numCache>
              </c:numRef>
            </c:minus>
          </c:errBars>
          <c:cat>
            <c:strRef>
              <c:f>analysis!$AI$19:$AI$25</c:f>
              <c:strCache>
                <c:ptCount val="7"/>
                <c:pt idx="0">
                  <c:v>NONE</c:v>
                </c:pt>
                <c:pt idx="1">
                  <c:v>DAP</c:v>
                </c:pt>
                <c:pt idx="2">
                  <c:v>MRP-DUST</c:v>
                </c:pt>
                <c:pt idx="3">
                  <c:v>MRP-PALLETS</c:v>
                </c:pt>
                <c:pt idx="4">
                  <c:v>TSP</c:v>
                </c:pt>
                <c:pt idx="5">
                  <c:v>TSP/KCL</c:v>
                </c:pt>
                <c:pt idx="6">
                  <c:v>SYMPAL</c:v>
                </c:pt>
              </c:strCache>
            </c:strRef>
          </c:cat>
          <c:val>
            <c:numRef>
              <c:f>analysis!$AJ$19:$AJ$25</c:f>
              <c:numCache>
                <c:formatCode>General</c:formatCode>
                <c:ptCount val="7"/>
                <c:pt idx="0">
                  <c:v>2.7833333333333332</c:v>
                </c:pt>
                <c:pt idx="1">
                  <c:v>2.8166666666666664</c:v>
                </c:pt>
                <c:pt idx="2">
                  <c:v>2.3722222222222222</c:v>
                </c:pt>
                <c:pt idx="3">
                  <c:v>1.9472222222222222</c:v>
                </c:pt>
                <c:pt idx="4">
                  <c:v>2.5</c:v>
                </c:pt>
                <c:pt idx="5">
                  <c:v>2.5</c:v>
                </c:pt>
                <c:pt idx="6">
                  <c:v>2.3000000000000003</c:v>
                </c:pt>
              </c:numCache>
            </c:numRef>
          </c:val>
        </c:ser>
        <c:ser>
          <c:idx val="1"/>
          <c:order val="1"/>
          <c:tx>
            <c:strRef>
              <c:f>analysis!$AK$18</c:f>
              <c:strCache>
                <c:ptCount val="1"/>
                <c:pt idx="0">
                  <c:v> + inoc</c:v>
                </c:pt>
              </c:strCache>
            </c:strRef>
          </c:tx>
          <c:invertIfNegative val="0"/>
          <c:errBars>
            <c:errBarType val="both"/>
            <c:errValType val="cust"/>
            <c:noEndCap val="0"/>
            <c:plus>
              <c:numRef>
                <c:f>analysis!$AQ$19:$AQ$25</c:f>
                <c:numCache>
                  <c:formatCode>General</c:formatCode>
                  <c:ptCount val="7"/>
                  <c:pt idx="0">
                    <c:v>0.28840557861764404</c:v>
                  </c:pt>
                  <c:pt idx="1">
                    <c:v>0.15202339001321938</c:v>
                  </c:pt>
                  <c:pt idx="2">
                    <c:v>0.14083086782851642</c:v>
                  </c:pt>
                  <c:pt idx="3">
                    <c:v>0.15846485765339588</c:v>
                  </c:pt>
                  <c:pt idx="4">
                    <c:v>8.0622577482985555E-2</c:v>
                  </c:pt>
                  <c:pt idx="5">
                    <c:v>0.23094010767585096</c:v>
                  </c:pt>
                  <c:pt idx="6">
                    <c:v>0.26470633623781026</c:v>
                  </c:pt>
                </c:numCache>
              </c:numRef>
            </c:plus>
            <c:minus>
              <c:numRef>
                <c:f>analysis!$AQ$19:$AQ$25</c:f>
                <c:numCache>
                  <c:formatCode>General</c:formatCode>
                  <c:ptCount val="7"/>
                  <c:pt idx="0">
                    <c:v>0.28840557861764404</c:v>
                  </c:pt>
                  <c:pt idx="1">
                    <c:v>0.15202339001321938</c:v>
                  </c:pt>
                  <c:pt idx="2">
                    <c:v>0.14083086782851642</c:v>
                  </c:pt>
                  <c:pt idx="3">
                    <c:v>0.15846485765339588</c:v>
                  </c:pt>
                  <c:pt idx="4">
                    <c:v>8.0622577482985555E-2</c:v>
                  </c:pt>
                  <c:pt idx="5">
                    <c:v>0.23094010767585096</c:v>
                  </c:pt>
                  <c:pt idx="6">
                    <c:v>0.26470633623781026</c:v>
                  </c:pt>
                </c:numCache>
              </c:numRef>
            </c:minus>
          </c:errBars>
          <c:cat>
            <c:strRef>
              <c:f>analysis!$AI$19:$AI$25</c:f>
              <c:strCache>
                <c:ptCount val="7"/>
                <c:pt idx="0">
                  <c:v>NONE</c:v>
                </c:pt>
                <c:pt idx="1">
                  <c:v>DAP</c:v>
                </c:pt>
                <c:pt idx="2">
                  <c:v>MRP-DUST</c:v>
                </c:pt>
                <c:pt idx="3">
                  <c:v>MRP-PALLETS</c:v>
                </c:pt>
                <c:pt idx="4">
                  <c:v>TSP</c:v>
                </c:pt>
                <c:pt idx="5">
                  <c:v>TSP/KCL</c:v>
                </c:pt>
                <c:pt idx="6">
                  <c:v>SYMPAL</c:v>
                </c:pt>
              </c:strCache>
            </c:strRef>
          </c:cat>
          <c:val>
            <c:numRef>
              <c:f>analysis!$AK$19:$AK$25</c:f>
              <c:numCache>
                <c:formatCode>General</c:formatCode>
                <c:ptCount val="7"/>
                <c:pt idx="0">
                  <c:v>2.8533333333333331</c:v>
                </c:pt>
                <c:pt idx="1">
                  <c:v>2.6666666666666665</c:v>
                </c:pt>
                <c:pt idx="2">
                  <c:v>2.5500000000000003</c:v>
                </c:pt>
                <c:pt idx="3">
                  <c:v>2.6333333333333333</c:v>
                </c:pt>
                <c:pt idx="4">
                  <c:v>2.5500000000000003</c:v>
                </c:pt>
                <c:pt idx="5">
                  <c:v>3</c:v>
                </c:pt>
                <c:pt idx="6">
                  <c:v>2.7416666666666667</c:v>
                </c:pt>
              </c:numCache>
            </c:numRef>
          </c:val>
        </c:ser>
        <c:dLbls>
          <c:showLegendKey val="0"/>
          <c:showVal val="0"/>
          <c:showCatName val="0"/>
          <c:showSerName val="0"/>
          <c:showPercent val="0"/>
          <c:showBubbleSize val="0"/>
        </c:dLbls>
        <c:gapWidth val="150"/>
        <c:axId val="177772416"/>
        <c:axId val="177773952"/>
      </c:barChart>
      <c:catAx>
        <c:axId val="177772416"/>
        <c:scaling>
          <c:orientation val="minMax"/>
        </c:scaling>
        <c:delete val="0"/>
        <c:axPos val="b"/>
        <c:numFmt formatCode="General" sourceLinked="1"/>
        <c:majorTickMark val="out"/>
        <c:minorTickMark val="none"/>
        <c:tickLblPos val="nextTo"/>
        <c:crossAx val="177773952"/>
        <c:crosses val="autoZero"/>
        <c:auto val="1"/>
        <c:lblAlgn val="ctr"/>
        <c:lblOffset val="100"/>
        <c:noMultiLvlLbl val="0"/>
      </c:catAx>
      <c:valAx>
        <c:axId val="177773952"/>
        <c:scaling>
          <c:orientation val="minMax"/>
        </c:scaling>
        <c:delete val="0"/>
        <c:axPos val="l"/>
        <c:title>
          <c:tx>
            <c:rich>
              <a:bodyPr rot="-5400000" vert="horz"/>
              <a:lstStyle/>
              <a:p>
                <a:pPr>
                  <a:defRPr/>
                </a:pPr>
                <a:r>
                  <a:rPr lang="en-US"/>
                  <a:t>Climbing bean nodule</a:t>
                </a:r>
                <a:r>
                  <a:rPr lang="en-US" baseline="0"/>
                  <a:t> score</a:t>
                </a:r>
                <a:endParaRPr lang="en-US"/>
              </a:p>
            </c:rich>
          </c:tx>
          <c:overlay val="0"/>
        </c:title>
        <c:numFmt formatCode="General" sourceLinked="1"/>
        <c:majorTickMark val="out"/>
        <c:minorTickMark val="none"/>
        <c:tickLblPos val="nextTo"/>
        <c:crossAx val="177772416"/>
        <c:crosses val="autoZero"/>
        <c:crossBetween val="between"/>
        <c:majorUnit val="1"/>
      </c:valAx>
    </c:plotArea>
    <c:legend>
      <c:legendPos val="tr"/>
      <c:layout>
        <c:manualLayout>
          <c:xMode val="edge"/>
          <c:yMode val="edge"/>
          <c:x val="0.87905664916885384"/>
          <c:y val="1.3888888888888888E-2"/>
          <c:w val="0.12094335083114616"/>
          <c:h val="0.12576771653543306"/>
        </c:manualLayout>
      </c:layout>
      <c:overlay val="1"/>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Analysis!$AQ$59</c:f>
              <c:strCache>
                <c:ptCount val="1"/>
                <c:pt idx="0">
                  <c:v> - inoc/ - lime</c:v>
                </c:pt>
              </c:strCache>
            </c:strRef>
          </c:tx>
          <c:invertIfNegative val="0"/>
          <c:errBars>
            <c:errBarType val="both"/>
            <c:errValType val="cust"/>
            <c:noEndCap val="0"/>
            <c:plus>
              <c:numRef>
                <c:f>Analysis!$AW$60:$AW$66</c:f>
                <c:numCache>
                  <c:formatCode>General</c:formatCode>
                  <c:ptCount val="7"/>
                  <c:pt idx="0">
                    <c:v>63.247338300701877</c:v>
                  </c:pt>
                  <c:pt idx="1">
                    <c:v>45.586865401651139</c:v>
                  </c:pt>
                  <c:pt idx="2">
                    <c:v>55.133135580002623</c:v>
                  </c:pt>
                  <c:pt idx="3">
                    <c:v>97.943593377449233</c:v>
                  </c:pt>
                  <c:pt idx="4">
                    <c:v>42.332749560742357</c:v>
                  </c:pt>
                  <c:pt idx="5">
                    <c:v>81.018016217421547</c:v>
                  </c:pt>
                  <c:pt idx="6">
                    <c:v>76.202671476807296</c:v>
                  </c:pt>
                </c:numCache>
              </c:numRef>
            </c:plus>
            <c:minus>
              <c:numRef>
                <c:f>Analysis!$AW$60:$AW$66</c:f>
                <c:numCache>
                  <c:formatCode>General</c:formatCode>
                  <c:ptCount val="7"/>
                  <c:pt idx="0">
                    <c:v>63.247338300701877</c:v>
                  </c:pt>
                  <c:pt idx="1">
                    <c:v>45.586865401651139</c:v>
                  </c:pt>
                  <c:pt idx="2">
                    <c:v>55.133135580002623</c:v>
                  </c:pt>
                  <c:pt idx="3">
                    <c:v>97.943593377449233</c:v>
                  </c:pt>
                  <c:pt idx="4">
                    <c:v>42.332749560742357</c:v>
                  </c:pt>
                  <c:pt idx="5">
                    <c:v>81.018016217421547</c:v>
                  </c:pt>
                  <c:pt idx="6">
                    <c:v>76.202671476807296</c:v>
                  </c:pt>
                </c:numCache>
              </c:numRef>
            </c:minus>
          </c:errBars>
          <c:cat>
            <c:strRef>
              <c:f>Analysis!$AP$60:$AP$66</c:f>
              <c:strCache>
                <c:ptCount val="7"/>
                <c:pt idx="0">
                  <c:v>NONE</c:v>
                </c:pt>
                <c:pt idx="1">
                  <c:v>DAP</c:v>
                </c:pt>
                <c:pt idx="2">
                  <c:v>MRP-DUST</c:v>
                </c:pt>
                <c:pt idx="3">
                  <c:v>MRP-PALLETS</c:v>
                </c:pt>
                <c:pt idx="4">
                  <c:v>TSP</c:v>
                </c:pt>
                <c:pt idx="5">
                  <c:v>TSP/KCL</c:v>
                </c:pt>
                <c:pt idx="6">
                  <c:v>SYMPAL</c:v>
                </c:pt>
              </c:strCache>
            </c:strRef>
          </c:cat>
          <c:val>
            <c:numRef>
              <c:f>Analysis!$AQ$60:$AQ$66</c:f>
              <c:numCache>
                <c:formatCode>General</c:formatCode>
                <c:ptCount val="7"/>
                <c:pt idx="0">
                  <c:v>802.72410673871764</c:v>
                </c:pt>
                <c:pt idx="1">
                  <c:v>960.22622845585022</c:v>
                </c:pt>
                <c:pt idx="2">
                  <c:v>1036.2476304981274</c:v>
                </c:pt>
                <c:pt idx="3">
                  <c:v>999.90854106987297</c:v>
                </c:pt>
                <c:pt idx="4">
                  <c:v>901.49879155524411</c:v>
                </c:pt>
                <c:pt idx="5">
                  <c:v>1043.9586795352266</c:v>
                </c:pt>
                <c:pt idx="6">
                  <c:v>960.1371213512889</c:v>
                </c:pt>
              </c:numCache>
            </c:numRef>
          </c:val>
        </c:ser>
        <c:ser>
          <c:idx val="1"/>
          <c:order val="1"/>
          <c:tx>
            <c:strRef>
              <c:f>Analysis!$AR$59</c:f>
              <c:strCache>
                <c:ptCount val="1"/>
                <c:pt idx="0">
                  <c:v> + inoc/ + lime</c:v>
                </c:pt>
              </c:strCache>
            </c:strRef>
          </c:tx>
          <c:invertIfNegative val="0"/>
          <c:errBars>
            <c:errBarType val="both"/>
            <c:errValType val="cust"/>
            <c:noEndCap val="0"/>
            <c:plus>
              <c:numRef>
                <c:f>Analysis!$AX$60:$AX$66</c:f>
                <c:numCache>
                  <c:formatCode>General</c:formatCode>
                  <c:ptCount val="7"/>
                  <c:pt idx="0">
                    <c:v>5.0063342090876786</c:v>
                  </c:pt>
                  <c:pt idx="1">
                    <c:v>251.59934449601545</c:v>
                  </c:pt>
                  <c:pt idx="2">
                    <c:v>118.28877838409416</c:v>
                  </c:pt>
                  <c:pt idx="3">
                    <c:v>78.569937124871785</c:v>
                  </c:pt>
                  <c:pt idx="4">
                    <c:v>118.72290422466676</c:v>
                  </c:pt>
                  <c:pt idx="5">
                    <c:v>120.31781509784236</c:v>
                  </c:pt>
                  <c:pt idx="6">
                    <c:v>45.338137735592497</c:v>
                  </c:pt>
                </c:numCache>
              </c:numRef>
            </c:plus>
            <c:minus>
              <c:numRef>
                <c:f>Analysis!$AX$60:$AX$66</c:f>
                <c:numCache>
                  <c:formatCode>General</c:formatCode>
                  <c:ptCount val="7"/>
                  <c:pt idx="0">
                    <c:v>5.0063342090876786</c:v>
                  </c:pt>
                  <c:pt idx="1">
                    <c:v>251.59934449601545</c:v>
                  </c:pt>
                  <c:pt idx="2">
                    <c:v>118.28877838409416</c:v>
                  </c:pt>
                  <c:pt idx="3">
                    <c:v>78.569937124871785</c:v>
                  </c:pt>
                  <c:pt idx="4">
                    <c:v>118.72290422466676</c:v>
                  </c:pt>
                  <c:pt idx="5">
                    <c:v>120.31781509784236</c:v>
                  </c:pt>
                  <c:pt idx="6">
                    <c:v>45.338137735592497</c:v>
                  </c:pt>
                </c:numCache>
              </c:numRef>
            </c:minus>
          </c:errBars>
          <c:cat>
            <c:strRef>
              <c:f>Analysis!$AP$60:$AP$66</c:f>
              <c:strCache>
                <c:ptCount val="7"/>
                <c:pt idx="0">
                  <c:v>NONE</c:v>
                </c:pt>
                <c:pt idx="1">
                  <c:v>DAP</c:v>
                </c:pt>
                <c:pt idx="2">
                  <c:v>MRP-DUST</c:v>
                </c:pt>
                <c:pt idx="3">
                  <c:v>MRP-PALLETS</c:v>
                </c:pt>
                <c:pt idx="4">
                  <c:v>TSP</c:v>
                </c:pt>
                <c:pt idx="5">
                  <c:v>TSP/KCL</c:v>
                </c:pt>
                <c:pt idx="6">
                  <c:v>SYMPAL</c:v>
                </c:pt>
              </c:strCache>
            </c:strRef>
          </c:cat>
          <c:val>
            <c:numRef>
              <c:f>Analysis!$AR$60:$AR$66</c:f>
              <c:numCache>
                <c:formatCode>General</c:formatCode>
                <c:ptCount val="7"/>
                <c:pt idx="0">
                  <c:v>667.67895134523042</c:v>
                </c:pt>
                <c:pt idx="1">
                  <c:v>1079.7768585258018</c:v>
                </c:pt>
                <c:pt idx="2">
                  <c:v>1127.0125628007374</c:v>
                </c:pt>
                <c:pt idx="3">
                  <c:v>1130.9178970725206</c:v>
                </c:pt>
                <c:pt idx="4">
                  <c:v>1253.185072394959</c:v>
                </c:pt>
                <c:pt idx="5">
                  <c:v>1073.7347464655343</c:v>
                </c:pt>
                <c:pt idx="6">
                  <c:v>1238.1989486621469</c:v>
                </c:pt>
              </c:numCache>
            </c:numRef>
          </c:val>
        </c:ser>
        <c:dLbls>
          <c:showLegendKey val="0"/>
          <c:showVal val="0"/>
          <c:showCatName val="0"/>
          <c:showSerName val="0"/>
          <c:showPercent val="0"/>
          <c:showBubbleSize val="0"/>
        </c:dLbls>
        <c:gapWidth val="150"/>
        <c:axId val="179391488"/>
        <c:axId val="179446528"/>
      </c:barChart>
      <c:catAx>
        <c:axId val="179391488"/>
        <c:scaling>
          <c:orientation val="minMax"/>
        </c:scaling>
        <c:delete val="0"/>
        <c:axPos val="b"/>
        <c:majorTickMark val="out"/>
        <c:minorTickMark val="none"/>
        <c:tickLblPos val="nextTo"/>
        <c:crossAx val="179446528"/>
        <c:crosses val="autoZero"/>
        <c:auto val="1"/>
        <c:lblAlgn val="ctr"/>
        <c:lblOffset val="100"/>
        <c:noMultiLvlLbl val="0"/>
      </c:catAx>
      <c:valAx>
        <c:axId val="179446528"/>
        <c:scaling>
          <c:orientation val="minMax"/>
        </c:scaling>
        <c:delete val="0"/>
        <c:axPos val="l"/>
        <c:title>
          <c:tx>
            <c:rich>
              <a:bodyPr rot="-5400000" vert="horz"/>
              <a:lstStyle/>
              <a:p>
                <a:pPr>
                  <a:defRPr/>
                </a:pPr>
                <a:r>
                  <a:rPr lang="en-US"/>
                  <a:t>Soybean grain yield (kg/ha)</a:t>
                </a:r>
              </a:p>
            </c:rich>
          </c:tx>
          <c:overlay val="0"/>
        </c:title>
        <c:numFmt formatCode="General" sourceLinked="1"/>
        <c:majorTickMark val="out"/>
        <c:minorTickMark val="none"/>
        <c:tickLblPos val="nextTo"/>
        <c:crossAx val="179391488"/>
        <c:crosses val="autoZero"/>
        <c:crossBetween val="between"/>
      </c:valAx>
    </c:plotArea>
    <c:legend>
      <c:legendPos val="tr"/>
      <c:layout>
        <c:manualLayout>
          <c:xMode val="edge"/>
          <c:yMode val="edge"/>
          <c:x val="0.79318132108486439"/>
          <c:y val="0"/>
          <c:w val="0.20681867891513561"/>
          <c:h val="0.16743438320209975"/>
        </c:manualLayout>
      </c:layout>
      <c:overlay val="1"/>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Analysis!$AQ$35</c:f>
              <c:strCache>
                <c:ptCount val="1"/>
                <c:pt idx="0">
                  <c:v> - inoc</c:v>
                </c:pt>
              </c:strCache>
            </c:strRef>
          </c:tx>
          <c:invertIfNegative val="0"/>
          <c:errBars>
            <c:errBarType val="both"/>
            <c:errValType val="cust"/>
            <c:noEndCap val="0"/>
            <c:plus>
              <c:numRef>
                <c:f>Analysis!$AW$36:$AW$42</c:f>
                <c:numCache>
                  <c:formatCode>General</c:formatCode>
                  <c:ptCount val="7"/>
                  <c:pt idx="0">
                    <c:v>48.987007297829315</c:v>
                  </c:pt>
                  <c:pt idx="1">
                    <c:v>100.21593981164568</c:v>
                  </c:pt>
                  <c:pt idx="2">
                    <c:v>70.495370429954477</c:v>
                  </c:pt>
                  <c:pt idx="3">
                    <c:v>60.075769411037292</c:v>
                  </c:pt>
                  <c:pt idx="4">
                    <c:v>91.984106173900628</c:v>
                  </c:pt>
                  <c:pt idx="5">
                    <c:v>66.543865510728466</c:v>
                  </c:pt>
                  <c:pt idx="6">
                    <c:v>91.184769075265777</c:v>
                  </c:pt>
                </c:numCache>
              </c:numRef>
            </c:plus>
            <c:minus>
              <c:numRef>
                <c:f>Analysis!$AW$36:$AW$42</c:f>
                <c:numCache>
                  <c:formatCode>General</c:formatCode>
                  <c:ptCount val="7"/>
                  <c:pt idx="0">
                    <c:v>48.987007297829315</c:v>
                  </c:pt>
                  <c:pt idx="1">
                    <c:v>100.21593981164568</c:v>
                  </c:pt>
                  <c:pt idx="2">
                    <c:v>70.495370429954477</c:v>
                  </c:pt>
                  <c:pt idx="3">
                    <c:v>60.075769411037292</c:v>
                  </c:pt>
                  <c:pt idx="4">
                    <c:v>91.984106173900628</c:v>
                  </c:pt>
                  <c:pt idx="5">
                    <c:v>66.543865510728466</c:v>
                  </c:pt>
                  <c:pt idx="6">
                    <c:v>91.184769075265777</c:v>
                  </c:pt>
                </c:numCache>
              </c:numRef>
            </c:minus>
          </c:errBars>
          <c:cat>
            <c:strRef>
              <c:f>Analysis!$AP$36:$AP$42</c:f>
              <c:strCache>
                <c:ptCount val="7"/>
                <c:pt idx="0">
                  <c:v>NONE</c:v>
                </c:pt>
                <c:pt idx="1">
                  <c:v>DAP</c:v>
                </c:pt>
                <c:pt idx="2">
                  <c:v>MRP-DUST</c:v>
                </c:pt>
                <c:pt idx="3">
                  <c:v>MRP-PALLETS</c:v>
                </c:pt>
                <c:pt idx="4">
                  <c:v>TSP</c:v>
                </c:pt>
                <c:pt idx="5">
                  <c:v>TSP/KCL</c:v>
                </c:pt>
                <c:pt idx="6">
                  <c:v>SYMPAL</c:v>
                </c:pt>
              </c:strCache>
            </c:strRef>
          </c:cat>
          <c:val>
            <c:numRef>
              <c:f>Analysis!$AQ$36:$AQ$42</c:f>
              <c:numCache>
                <c:formatCode>General</c:formatCode>
                <c:ptCount val="7"/>
                <c:pt idx="0">
                  <c:v>1049.2018381764506</c:v>
                </c:pt>
                <c:pt idx="1">
                  <c:v>998.77356300613849</c:v>
                </c:pt>
                <c:pt idx="2">
                  <c:v>1216.0188077630376</c:v>
                </c:pt>
                <c:pt idx="3">
                  <c:v>1184.1202729720501</c:v>
                </c:pt>
                <c:pt idx="4">
                  <c:v>1218.2433366129126</c:v>
                </c:pt>
                <c:pt idx="5">
                  <c:v>1176.2170559956526</c:v>
                </c:pt>
                <c:pt idx="6">
                  <c:v>1186.91723422769</c:v>
                </c:pt>
              </c:numCache>
            </c:numRef>
          </c:val>
        </c:ser>
        <c:ser>
          <c:idx val="1"/>
          <c:order val="1"/>
          <c:tx>
            <c:strRef>
              <c:f>Analysis!$AR$35</c:f>
              <c:strCache>
                <c:ptCount val="1"/>
                <c:pt idx="0">
                  <c:v> + inoc</c:v>
                </c:pt>
              </c:strCache>
            </c:strRef>
          </c:tx>
          <c:invertIfNegative val="0"/>
          <c:errBars>
            <c:errBarType val="both"/>
            <c:errValType val="cust"/>
            <c:noEndCap val="0"/>
            <c:plus>
              <c:numRef>
                <c:f>Analysis!$AX$36:$AX$42</c:f>
                <c:numCache>
                  <c:formatCode>General</c:formatCode>
                  <c:ptCount val="7"/>
                  <c:pt idx="0">
                    <c:v>39.789908171560683</c:v>
                  </c:pt>
                  <c:pt idx="1">
                    <c:v>124.9105325101507</c:v>
                  </c:pt>
                  <c:pt idx="2">
                    <c:v>94.571987914038161</c:v>
                  </c:pt>
                  <c:pt idx="3">
                    <c:v>76.78965108326922</c:v>
                  </c:pt>
                  <c:pt idx="4">
                    <c:v>69.714806706209629</c:v>
                  </c:pt>
                  <c:pt idx="5">
                    <c:v>76.092098777992646</c:v>
                  </c:pt>
                  <c:pt idx="6">
                    <c:v>140.52654220843658</c:v>
                  </c:pt>
                </c:numCache>
              </c:numRef>
            </c:plus>
            <c:minus>
              <c:numRef>
                <c:f>Analysis!$AX$36:$AX$42</c:f>
                <c:numCache>
                  <c:formatCode>General</c:formatCode>
                  <c:ptCount val="7"/>
                  <c:pt idx="0">
                    <c:v>39.789908171560683</c:v>
                  </c:pt>
                  <c:pt idx="1">
                    <c:v>124.9105325101507</c:v>
                  </c:pt>
                  <c:pt idx="2">
                    <c:v>94.571987914038161</c:v>
                  </c:pt>
                  <c:pt idx="3">
                    <c:v>76.78965108326922</c:v>
                  </c:pt>
                  <c:pt idx="4">
                    <c:v>69.714806706209629</c:v>
                  </c:pt>
                  <c:pt idx="5">
                    <c:v>76.092098777992646</c:v>
                  </c:pt>
                  <c:pt idx="6">
                    <c:v>140.52654220843658</c:v>
                  </c:pt>
                </c:numCache>
              </c:numRef>
            </c:minus>
          </c:errBars>
          <c:cat>
            <c:strRef>
              <c:f>Analysis!$AP$36:$AP$42</c:f>
              <c:strCache>
                <c:ptCount val="7"/>
                <c:pt idx="0">
                  <c:v>NONE</c:v>
                </c:pt>
                <c:pt idx="1">
                  <c:v>DAP</c:v>
                </c:pt>
                <c:pt idx="2">
                  <c:v>MRP-DUST</c:v>
                </c:pt>
                <c:pt idx="3">
                  <c:v>MRP-PALLETS</c:v>
                </c:pt>
                <c:pt idx="4">
                  <c:v>TSP</c:v>
                </c:pt>
                <c:pt idx="5">
                  <c:v>TSP/KCL</c:v>
                </c:pt>
                <c:pt idx="6">
                  <c:v>SYMPAL</c:v>
                </c:pt>
              </c:strCache>
            </c:strRef>
          </c:cat>
          <c:val>
            <c:numRef>
              <c:f>Analysis!$AR$36:$AR$42</c:f>
              <c:numCache>
                <c:formatCode>General</c:formatCode>
                <c:ptCount val="7"/>
                <c:pt idx="0">
                  <c:v>1041.428959651786</c:v>
                </c:pt>
                <c:pt idx="1">
                  <c:v>1199.6951605280158</c:v>
                </c:pt>
                <c:pt idx="2">
                  <c:v>1309.1774080088881</c:v>
                </c:pt>
                <c:pt idx="3">
                  <c:v>1350.6994625480793</c:v>
                </c:pt>
                <c:pt idx="4">
                  <c:v>1359.5741716115692</c:v>
                </c:pt>
                <c:pt idx="5">
                  <c:v>1305.6805644290557</c:v>
                </c:pt>
                <c:pt idx="6">
                  <c:v>1189.1726919788018</c:v>
                </c:pt>
              </c:numCache>
            </c:numRef>
          </c:val>
        </c:ser>
        <c:dLbls>
          <c:showLegendKey val="0"/>
          <c:showVal val="0"/>
          <c:showCatName val="0"/>
          <c:showSerName val="0"/>
          <c:showPercent val="0"/>
          <c:showBubbleSize val="0"/>
        </c:dLbls>
        <c:gapWidth val="150"/>
        <c:axId val="179476736"/>
        <c:axId val="179503104"/>
      </c:barChart>
      <c:catAx>
        <c:axId val="179476736"/>
        <c:scaling>
          <c:orientation val="minMax"/>
        </c:scaling>
        <c:delete val="0"/>
        <c:axPos val="b"/>
        <c:majorTickMark val="out"/>
        <c:minorTickMark val="none"/>
        <c:tickLblPos val="nextTo"/>
        <c:crossAx val="179503104"/>
        <c:crosses val="autoZero"/>
        <c:auto val="1"/>
        <c:lblAlgn val="ctr"/>
        <c:lblOffset val="100"/>
        <c:noMultiLvlLbl val="0"/>
      </c:catAx>
      <c:valAx>
        <c:axId val="179503104"/>
        <c:scaling>
          <c:orientation val="minMax"/>
        </c:scaling>
        <c:delete val="0"/>
        <c:axPos val="l"/>
        <c:title>
          <c:tx>
            <c:rich>
              <a:bodyPr rot="-5400000" vert="horz"/>
              <a:lstStyle/>
              <a:p>
                <a:pPr>
                  <a:defRPr/>
                </a:pPr>
                <a:r>
                  <a:rPr lang="en-US"/>
                  <a:t>Soybean stover yield (kg/ha)</a:t>
                </a:r>
              </a:p>
            </c:rich>
          </c:tx>
          <c:overlay val="0"/>
        </c:title>
        <c:numFmt formatCode="General" sourceLinked="1"/>
        <c:majorTickMark val="out"/>
        <c:minorTickMark val="none"/>
        <c:tickLblPos val="nextTo"/>
        <c:crossAx val="179476736"/>
        <c:crosses val="autoZero"/>
        <c:crossBetween val="between"/>
      </c:valAx>
    </c:plotArea>
    <c:legend>
      <c:legendPos val="tr"/>
      <c:layout>
        <c:manualLayout>
          <c:xMode val="edge"/>
          <c:yMode val="edge"/>
          <c:x val="0.87905664916885384"/>
          <c:y val="0"/>
          <c:w val="0.1209433508311461"/>
          <c:h val="0.16743438320209975"/>
        </c:manualLayout>
      </c:layout>
      <c:overlay val="1"/>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Analysis!$AQ$70</c:f>
              <c:strCache>
                <c:ptCount val="1"/>
                <c:pt idx="0">
                  <c:v> - inoc/ - lime</c:v>
                </c:pt>
              </c:strCache>
            </c:strRef>
          </c:tx>
          <c:invertIfNegative val="0"/>
          <c:errBars>
            <c:errBarType val="both"/>
            <c:errValType val="cust"/>
            <c:noEndCap val="0"/>
            <c:plus>
              <c:numRef>
                <c:f>Analysis!$AW$71:$AW$77</c:f>
                <c:numCache>
                  <c:formatCode>General</c:formatCode>
                  <c:ptCount val="7"/>
                  <c:pt idx="0">
                    <c:v>93.654971525445404</c:v>
                  </c:pt>
                  <c:pt idx="1">
                    <c:v>69.435500846701274</c:v>
                  </c:pt>
                  <c:pt idx="2">
                    <c:v>115.36723402426956</c:v>
                  </c:pt>
                  <c:pt idx="3">
                    <c:v>80.668490182945263</c:v>
                  </c:pt>
                  <c:pt idx="4">
                    <c:v>141.49425868085567</c:v>
                  </c:pt>
                  <c:pt idx="5">
                    <c:v>73.201726253363475</c:v>
                  </c:pt>
                  <c:pt idx="6">
                    <c:v>113.24004722510635</c:v>
                  </c:pt>
                </c:numCache>
              </c:numRef>
            </c:plus>
            <c:minus>
              <c:numRef>
                <c:f>Analysis!$AW$71:$AW$77</c:f>
                <c:numCache>
                  <c:formatCode>General</c:formatCode>
                  <c:ptCount val="7"/>
                  <c:pt idx="0">
                    <c:v>93.654971525445404</c:v>
                  </c:pt>
                  <c:pt idx="1">
                    <c:v>69.435500846701274</c:v>
                  </c:pt>
                  <c:pt idx="2">
                    <c:v>115.36723402426956</c:v>
                  </c:pt>
                  <c:pt idx="3">
                    <c:v>80.668490182945263</c:v>
                  </c:pt>
                  <c:pt idx="4">
                    <c:v>141.49425868085567</c:v>
                  </c:pt>
                  <c:pt idx="5">
                    <c:v>73.201726253363475</c:v>
                  </c:pt>
                  <c:pt idx="6">
                    <c:v>113.24004722510635</c:v>
                  </c:pt>
                </c:numCache>
              </c:numRef>
            </c:minus>
          </c:errBars>
          <c:cat>
            <c:strRef>
              <c:f>Analysis!$AP$71:$AP$77</c:f>
              <c:strCache>
                <c:ptCount val="7"/>
                <c:pt idx="0">
                  <c:v>NONE</c:v>
                </c:pt>
                <c:pt idx="1">
                  <c:v>DAP</c:v>
                </c:pt>
                <c:pt idx="2">
                  <c:v>MRP-DUST</c:v>
                </c:pt>
                <c:pt idx="3">
                  <c:v>MRP-PALLETS</c:v>
                </c:pt>
                <c:pt idx="4">
                  <c:v>TSP</c:v>
                </c:pt>
                <c:pt idx="5">
                  <c:v>TSP/KCL</c:v>
                </c:pt>
                <c:pt idx="6">
                  <c:v>SYMPAL</c:v>
                </c:pt>
              </c:strCache>
            </c:strRef>
          </c:cat>
          <c:val>
            <c:numRef>
              <c:f>Analysis!$AQ$71:$AQ$77</c:f>
              <c:numCache>
                <c:formatCode>General</c:formatCode>
                <c:ptCount val="7"/>
                <c:pt idx="0">
                  <c:v>1068.3092759034464</c:v>
                </c:pt>
                <c:pt idx="1">
                  <c:v>1058.0922254429606</c:v>
                </c:pt>
                <c:pt idx="2">
                  <c:v>1256.0352985866043</c:v>
                </c:pt>
                <c:pt idx="3">
                  <c:v>1238.0921632977368</c:v>
                </c:pt>
                <c:pt idx="4">
                  <c:v>1153.5247129230722</c:v>
                </c:pt>
                <c:pt idx="5">
                  <c:v>1290.0462031842435</c:v>
                </c:pt>
                <c:pt idx="6">
                  <c:v>1179.128950243469</c:v>
                </c:pt>
              </c:numCache>
            </c:numRef>
          </c:val>
        </c:ser>
        <c:ser>
          <c:idx val="1"/>
          <c:order val="1"/>
          <c:tx>
            <c:strRef>
              <c:f>Analysis!$AR$70</c:f>
              <c:strCache>
                <c:ptCount val="1"/>
                <c:pt idx="0">
                  <c:v> + inoc/ + lime</c:v>
                </c:pt>
              </c:strCache>
            </c:strRef>
          </c:tx>
          <c:invertIfNegative val="0"/>
          <c:errBars>
            <c:errBarType val="both"/>
            <c:errValType val="cust"/>
            <c:noEndCap val="0"/>
            <c:plus>
              <c:numRef>
                <c:f>Analysis!$AX$71:$AX$77</c:f>
                <c:numCache>
                  <c:formatCode>General</c:formatCode>
                  <c:ptCount val="7"/>
                  <c:pt idx="0">
                    <c:v>71.644625863421268</c:v>
                  </c:pt>
                  <c:pt idx="1">
                    <c:v>106.04662129779865</c:v>
                  </c:pt>
                  <c:pt idx="2">
                    <c:v>179.750429338711</c:v>
                  </c:pt>
                  <c:pt idx="3">
                    <c:v>137.56791065377448</c:v>
                  </c:pt>
                  <c:pt idx="4">
                    <c:v>41.838179418586471</c:v>
                  </c:pt>
                  <c:pt idx="5">
                    <c:v>11.18571169012381</c:v>
                  </c:pt>
                  <c:pt idx="6">
                    <c:v>68.655603732555093</c:v>
                  </c:pt>
                </c:numCache>
              </c:numRef>
            </c:plus>
            <c:minus>
              <c:numRef>
                <c:f>Analysis!$AX$71:$AX$77</c:f>
                <c:numCache>
                  <c:formatCode>General</c:formatCode>
                  <c:ptCount val="7"/>
                  <c:pt idx="0">
                    <c:v>71.644625863421268</c:v>
                  </c:pt>
                  <c:pt idx="1">
                    <c:v>106.04662129779865</c:v>
                  </c:pt>
                  <c:pt idx="2">
                    <c:v>179.750429338711</c:v>
                  </c:pt>
                  <c:pt idx="3">
                    <c:v>137.56791065377448</c:v>
                  </c:pt>
                  <c:pt idx="4">
                    <c:v>41.838179418586471</c:v>
                  </c:pt>
                  <c:pt idx="5">
                    <c:v>11.18571169012381</c:v>
                  </c:pt>
                  <c:pt idx="6">
                    <c:v>68.655603732555093</c:v>
                  </c:pt>
                </c:numCache>
              </c:numRef>
            </c:minus>
          </c:errBars>
          <c:cat>
            <c:strRef>
              <c:f>Analysis!$AP$71:$AP$77</c:f>
              <c:strCache>
                <c:ptCount val="7"/>
                <c:pt idx="0">
                  <c:v>NONE</c:v>
                </c:pt>
                <c:pt idx="1">
                  <c:v>DAP</c:v>
                </c:pt>
                <c:pt idx="2">
                  <c:v>MRP-DUST</c:v>
                </c:pt>
                <c:pt idx="3">
                  <c:v>MRP-PALLETS</c:v>
                </c:pt>
                <c:pt idx="4">
                  <c:v>TSP</c:v>
                </c:pt>
                <c:pt idx="5">
                  <c:v>TSP/KCL</c:v>
                </c:pt>
                <c:pt idx="6">
                  <c:v>SYMPAL</c:v>
                </c:pt>
              </c:strCache>
            </c:strRef>
          </c:cat>
          <c:val>
            <c:numRef>
              <c:f>Analysis!$AR$71:$AR$77</c:f>
              <c:numCache>
                <c:formatCode>General</c:formatCode>
                <c:ptCount val="7"/>
                <c:pt idx="0">
                  <c:v>1023.9070193891122</c:v>
                </c:pt>
                <c:pt idx="1">
                  <c:v>1080.408445663455</c:v>
                </c:pt>
                <c:pt idx="2">
                  <c:v>1328.5574761085581</c:v>
                </c:pt>
                <c:pt idx="3">
                  <c:v>1411.2954592738606</c:v>
                </c:pt>
                <c:pt idx="4">
                  <c:v>1490.8572697631407</c:v>
                </c:pt>
                <c:pt idx="5">
                  <c:v>1316.408518868164</c:v>
                </c:pt>
                <c:pt idx="6">
                  <c:v>1450.8173252422064</c:v>
                </c:pt>
              </c:numCache>
            </c:numRef>
          </c:val>
        </c:ser>
        <c:dLbls>
          <c:showLegendKey val="0"/>
          <c:showVal val="0"/>
          <c:showCatName val="0"/>
          <c:showSerName val="0"/>
          <c:showPercent val="0"/>
          <c:showBubbleSize val="0"/>
        </c:dLbls>
        <c:gapWidth val="150"/>
        <c:axId val="179561984"/>
        <c:axId val="179563520"/>
      </c:barChart>
      <c:catAx>
        <c:axId val="179561984"/>
        <c:scaling>
          <c:orientation val="minMax"/>
        </c:scaling>
        <c:delete val="0"/>
        <c:axPos val="b"/>
        <c:majorTickMark val="out"/>
        <c:minorTickMark val="none"/>
        <c:tickLblPos val="nextTo"/>
        <c:crossAx val="179563520"/>
        <c:crosses val="autoZero"/>
        <c:auto val="1"/>
        <c:lblAlgn val="ctr"/>
        <c:lblOffset val="100"/>
        <c:noMultiLvlLbl val="0"/>
      </c:catAx>
      <c:valAx>
        <c:axId val="179563520"/>
        <c:scaling>
          <c:orientation val="minMax"/>
        </c:scaling>
        <c:delete val="0"/>
        <c:axPos val="l"/>
        <c:title>
          <c:tx>
            <c:rich>
              <a:bodyPr rot="-5400000" vert="horz"/>
              <a:lstStyle/>
              <a:p>
                <a:pPr>
                  <a:defRPr/>
                </a:pPr>
                <a:r>
                  <a:rPr lang="en-US"/>
                  <a:t>Soybean stover yield (kg/ha)</a:t>
                </a:r>
              </a:p>
            </c:rich>
          </c:tx>
          <c:overlay val="0"/>
        </c:title>
        <c:numFmt formatCode="General" sourceLinked="1"/>
        <c:majorTickMark val="out"/>
        <c:minorTickMark val="none"/>
        <c:tickLblPos val="nextTo"/>
        <c:crossAx val="179561984"/>
        <c:crosses val="autoZero"/>
        <c:crossBetween val="between"/>
      </c:valAx>
    </c:plotArea>
    <c:legend>
      <c:legendPos val="tr"/>
      <c:layout>
        <c:manualLayout>
          <c:xMode val="edge"/>
          <c:yMode val="edge"/>
          <c:x val="0.79318132108486439"/>
          <c:y val="0"/>
          <c:w val="0.20681867891513561"/>
          <c:h val="0.16743438320209975"/>
        </c:manualLayout>
      </c:layout>
      <c:overlay val="1"/>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Analysis!$AL$33</c:f>
              <c:strCache>
                <c:ptCount val="1"/>
                <c:pt idx="0">
                  <c:v> - inoc</c:v>
                </c:pt>
              </c:strCache>
            </c:strRef>
          </c:tx>
          <c:invertIfNegative val="0"/>
          <c:errBars>
            <c:errBarType val="both"/>
            <c:errValType val="cust"/>
            <c:noEndCap val="0"/>
            <c:plus>
              <c:numRef>
                <c:f>Analysis!$AR$34:$AR$40</c:f>
                <c:numCache>
                  <c:formatCode>General</c:formatCode>
                  <c:ptCount val="7"/>
                  <c:pt idx="0">
                    <c:v>8.8191710368819676E-2</c:v>
                  </c:pt>
                  <c:pt idx="1">
                    <c:v>3.073181485764297E-2</c:v>
                  </c:pt>
                  <c:pt idx="2">
                    <c:v>0.14375905768565214</c:v>
                  </c:pt>
                  <c:pt idx="3">
                    <c:v>5.6273143387113735E-2</c:v>
                  </c:pt>
                  <c:pt idx="4">
                    <c:v>7.031674369909667E-2</c:v>
                  </c:pt>
                  <c:pt idx="5">
                    <c:v>5.5777335102271737E-2</c:v>
                  </c:pt>
                  <c:pt idx="6">
                    <c:v>0.14548768561863462</c:v>
                  </c:pt>
                </c:numCache>
              </c:numRef>
            </c:plus>
            <c:minus>
              <c:numRef>
                <c:f>Analysis!$AR$34:$AR$40</c:f>
                <c:numCache>
                  <c:formatCode>General</c:formatCode>
                  <c:ptCount val="7"/>
                  <c:pt idx="0">
                    <c:v>8.8191710368819676E-2</c:v>
                  </c:pt>
                  <c:pt idx="1">
                    <c:v>3.073181485764297E-2</c:v>
                  </c:pt>
                  <c:pt idx="2">
                    <c:v>0.14375905768565214</c:v>
                  </c:pt>
                  <c:pt idx="3">
                    <c:v>5.6273143387113735E-2</c:v>
                  </c:pt>
                  <c:pt idx="4">
                    <c:v>7.031674369909667E-2</c:v>
                  </c:pt>
                  <c:pt idx="5">
                    <c:v>5.5777335102271737E-2</c:v>
                  </c:pt>
                  <c:pt idx="6">
                    <c:v>0.14548768561863462</c:v>
                  </c:pt>
                </c:numCache>
              </c:numRef>
            </c:minus>
          </c:errBars>
          <c:cat>
            <c:strRef>
              <c:f>Analysis!$AK$34:$AK$40</c:f>
              <c:strCache>
                <c:ptCount val="7"/>
                <c:pt idx="0">
                  <c:v>NONE</c:v>
                </c:pt>
                <c:pt idx="1">
                  <c:v>DAP</c:v>
                </c:pt>
                <c:pt idx="2">
                  <c:v>MRP-DUST</c:v>
                </c:pt>
                <c:pt idx="3">
                  <c:v>MRP-PALLETS</c:v>
                </c:pt>
                <c:pt idx="4">
                  <c:v>TSP</c:v>
                </c:pt>
                <c:pt idx="5">
                  <c:v>TSP/KCL</c:v>
                </c:pt>
                <c:pt idx="6">
                  <c:v>SYMPAL</c:v>
                </c:pt>
              </c:strCache>
            </c:strRef>
          </c:cat>
          <c:val>
            <c:numRef>
              <c:f>Analysis!$AL$34:$AL$40</c:f>
              <c:numCache>
                <c:formatCode>General</c:formatCode>
                <c:ptCount val="7"/>
                <c:pt idx="0">
                  <c:v>0.26666666666666666</c:v>
                </c:pt>
                <c:pt idx="1">
                  <c:v>0.18333333333333335</c:v>
                </c:pt>
                <c:pt idx="2">
                  <c:v>0.40000000000000008</c:v>
                </c:pt>
                <c:pt idx="3">
                  <c:v>0.25000000000000006</c:v>
                </c:pt>
                <c:pt idx="4">
                  <c:v>0.3833333333333333</c:v>
                </c:pt>
                <c:pt idx="5">
                  <c:v>0.23333333333333331</c:v>
                </c:pt>
                <c:pt idx="6">
                  <c:v>0.45</c:v>
                </c:pt>
              </c:numCache>
            </c:numRef>
          </c:val>
        </c:ser>
        <c:ser>
          <c:idx val="1"/>
          <c:order val="1"/>
          <c:tx>
            <c:strRef>
              <c:f>Analysis!$AM$33</c:f>
              <c:strCache>
                <c:ptCount val="1"/>
                <c:pt idx="0">
                  <c:v> + inoc</c:v>
                </c:pt>
              </c:strCache>
            </c:strRef>
          </c:tx>
          <c:invertIfNegative val="0"/>
          <c:errBars>
            <c:errBarType val="both"/>
            <c:errValType val="cust"/>
            <c:noEndCap val="0"/>
            <c:plus>
              <c:numRef>
                <c:f>Analysis!$AS$34:$AS$40</c:f>
                <c:numCache>
                  <c:formatCode>General</c:formatCode>
                  <c:ptCount val="7"/>
                  <c:pt idx="0">
                    <c:v>0.30623157540949092</c:v>
                  </c:pt>
                  <c:pt idx="1">
                    <c:v>0.21550973166993018</c:v>
                  </c:pt>
                  <c:pt idx="2">
                    <c:v>0.21356757972854848</c:v>
                  </c:pt>
                  <c:pt idx="3">
                    <c:v>0.17126976771553601</c:v>
                  </c:pt>
                  <c:pt idx="4">
                    <c:v>0.28401877872187653</c:v>
                  </c:pt>
                  <c:pt idx="5">
                    <c:v>0.60318598569042792</c:v>
                  </c:pt>
                  <c:pt idx="6">
                    <c:v>0.28700836176956851</c:v>
                  </c:pt>
                </c:numCache>
              </c:numRef>
            </c:plus>
            <c:minus>
              <c:numRef>
                <c:f>Analysis!$AS$34:$AS$40</c:f>
                <c:numCache>
                  <c:formatCode>General</c:formatCode>
                  <c:ptCount val="7"/>
                  <c:pt idx="0">
                    <c:v>0.30623157540949092</c:v>
                  </c:pt>
                  <c:pt idx="1">
                    <c:v>0.21550973166993018</c:v>
                  </c:pt>
                  <c:pt idx="2">
                    <c:v>0.21356757972854848</c:v>
                  </c:pt>
                  <c:pt idx="3">
                    <c:v>0.17126976771553601</c:v>
                  </c:pt>
                  <c:pt idx="4">
                    <c:v>0.28401877872187653</c:v>
                  </c:pt>
                  <c:pt idx="5">
                    <c:v>0.60318598569042792</c:v>
                  </c:pt>
                  <c:pt idx="6">
                    <c:v>0.28700836176956851</c:v>
                  </c:pt>
                </c:numCache>
              </c:numRef>
            </c:minus>
          </c:errBars>
          <c:cat>
            <c:strRef>
              <c:f>Analysis!$AK$34:$AK$40</c:f>
              <c:strCache>
                <c:ptCount val="7"/>
                <c:pt idx="0">
                  <c:v>NONE</c:v>
                </c:pt>
                <c:pt idx="1">
                  <c:v>DAP</c:v>
                </c:pt>
                <c:pt idx="2">
                  <c:v>MRP-DUST</c:v>
                </c:pt>
                <c:pt idx="3">
                  <c:v>MRP-PALLETS</c:v>
                </c:pt>
                <c:pt idx="4">
                  <c:v>TSP</c:v>
                </c:pt>
                <c:pt idx="5">
                  <c:v>TSP/KCL</c:v>
                </c:pt>
                <c:pt idx="6">
                  <c:v>SYMPAL</c:v>
                </c:pt>
              </c:strCache>
            </c:strRef>
          </c:cat>
          <c:val>
            <c:numRef>
              <c:f>Analysis!$AM$34:$AM$40</c:f>
              <c:numCache>
                <c:formatCode>General</c:formatCode>
                <c:ptCount val="7"/>
                <c:pt idx="0">
                  <c:v>3.6333333333333329</c:v>
                </c:pt>
                <c:pt idx="1">
                  <c:v>3.7333333333333329</c:v>
                </c:pt>
                <c:pt idx="2">
                  <c:v>4.2833333333333341</c:v>
                </c:pt>
                <c:pt idx="3">
                  <c:v>3.6999999999999997</c:v>
                </c:pt>
                <c:pt idx="4">
                  <c:v>4</c:v>
                </c:pt>
                <c:pt idx="5">
                  <c:v>3.85</c:v>
                </c:pt>
                <c:pt idx="6">
                  <c:v>3.501851851851852</c:v>
                </c:pt>
              </c:numCache>
            </c:numRef>
          </c:val>
        </c:ser>
        <c:dLbls>
          <c:showLegendKey val="0"/>
          <c:showVal val="0"/>
          <c:showCatName val="0"/>
          <c:showSerName val="0"/>
          <c:showPercent val="0"/>
          <c:showBubbleSize val="0"/>
        </c:dLbls>
        <c:gapWidth val="150"/>
        <c:axId val="179614464"/>
        <c:axId val="179616000"/>
      </c:barChart>
      <c:catAx>
        <c:axId val="179614464"/>
        <c:scaling>
          <c:orientation val="minMax"/>
        </c:scaling>
        <c:delete val="0"/>
        <c:axPos val="b"/>
        <c:majorTickMark val="out"/>
        <c:minorTickMark val="none"/>
        <c:tickLblPos val="nextTo"/>
        <c:crossAx val="179616000"/>
        <c:crosses val="autoZero"/>
        <c:auto val="1"/>
        <c:lblAlgn val="ctr"/>
        <c:lblOffset val="100"/>
        <c:noMultiLvlLbl val="0"/>
      </c:catAx>
      <c:valAx>
        <c:axId val="179616000"/>
        <c:scaling>
          <c:orientation val="minMax"/>
        </c:scaling>
        <c:delete val="0"/>
        <c:axPos val="l"/>
        <c:title>
          <c:tx>
            <c:rich>
              <a:bodyPr rot="-5400000" vert="horz"/>
              <a:lstStyle/>
              <a:p>
                <a:pPr>
                  <a:defRPr/>
                </a:pPr>
                <a:r>
                  <a:rPr lang="en-US"/>
                  <a:t>Soybean nodule score</a:t>
                </a:r>
              </a:p>
            </c:rich>
          </c:tx>
          <c:overlay val="0"/>
        </c:title>
        <c:numFmt formatCode="General" sourceLinked="1"/>
        <c:majorTickMark val="out"/>
        <c:minorTickMark val="none"/>
        <c:tickLblPos val="nextTo"/>
        <c:crossAx val="179614464"/>
        <c:crosses val="autoZero"/>
        <c:crossBetween val="between"/>
        <c:majorUnit val="1"/>
      </c:valAx>
    </c:plotArea>
    <c:legend>
      <c:legendPos val="tr"/>
      <c:layout>
        <c:manualLayout>
          <c:xMode val="edge"/>
          <c:yMode val="edge"/>
          <c:x val="0.76794553805774279"/>
          <c:y val="1.3888888888888888E-2"/>
          <c:w val="0.23205446194225721"/>
          <c:h val="8.8730679498396026E-2"/>
        </c:manualLayout>
      </c:layout>
      <c:overlay val="1"/>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Analysis!$AL$69</c:f>
              <c:strCache>
                <c:ptCount val="1"/>
                <c:pt idx="0">
                  <c:v> - inoc / - lime</c:v>
                </c:pt>
              </c:strCache>
            </c:strRef>
          </c:tx>
          <c:invertIfNegative val="0"/>
          <c:errBars>
            <c:errBarType val="both"/>
            <c:errValType val="cust"/>
            <c:noEndCap val="0"/>
            <c:plus>
              <c:numRef>
                <c:f>Analysis!$AR$70:$AR$76</c:f>
                <c:numCache>
                  <c:formatCode>General</c:formatCode>
                  <c:ptCount val="7"/>
                  <c:pt idx="0">
                    <c:v>0.11086778913041725</c:v>
                  </c:pt>
                  <c:pt idx="1">
                    <c:v>2.5000000000000081E-2</c:v>
                  </c:pt>
                  <c:pt idx="2">
                    <c:v>0.21746647251166484</c:v>
                  </c:pt>
                  <c:pt idx="3">
                    <c:v>4.7871355387816936E-2</c:v>
                  </c:pt>
                  <c:pt idx="4">
                    <c:v>0.10408329997330666</c:v>
                  </c:pt>
                  <c:pt idx="5">
                    <c:v>8.5391256382996661E-2</c:v>
                  </c:pt>
                  <c:pt idx="6">
                    <c:v>0.22867371223353741</c:v>
                  </c:pt>
                </c:numCache>
              </c:numRef>
            </c:plus>
            <c:minus>
              <c:numRef>
                <c:f>Analysis!$AR$70:$AR$76</c:f>
                <c:numCache>
                  <c:formatCode>General</c:formatCode>
                  <c:ptCount val="7"/>
                  <c:pt idx="0">
                    <c:v>0.11086778913041725</c:v>
                  </c:pt>
                  <c:pt idx="1">
                    <c:v>2.5000000000000081E-2</c:v>
                  </c:pt>
                  <c:pt idx="2">
                    <c:v>0.21746647251166484</c:v>
                  </c:pt>
                  <c:pt idx="3">
                    <c:v>4.7871355387816936E-2</c:v>
                  </c:pt>
                  <c:pt idx="4">
                    <c:v>0.10408329997330666</c:v>
                  </c:pt>
                  <c:pt idx="5">
                    <c:v>8.5391256382996661E-2</c:v>
                  </c:pt>
                  <c:pt idx="6">
                    <c:v>0.22867371223353741</c:v>
                  </c:pt>
                </c:numCache>
              </c:numRef>
            </c:minus>
          </c:errBars>
          <c:cat>
            <c:strRef>
              <c:f>Analysis!$AK$70:$AK$76</c:f>
              <c:strCache>
                <c:ptCount val="7"/>
                <c:pt idx="0">
                  <c:v>NONE</c:v>
                </c:pt>
                <c:pt idx="1">
                  <c:v>DAP</c:v>
                </c:pt>
                <c:pt idx="2">
                  <c:v>MRP-DUST</c:v>
                </c:pt>
                <c:pt idx="3">
                  <c:v>MRP-PALLETS</c:v>
                </c:pt>
                <c:pt idx="4">
                  <c:v>TSP</c:v>
                </c:pt>
                <c:pt idx="5">
                  <c:v>TSP/KCL</c:v>
                </c:pt>
                <c:pt idx="6">
                  <c:v>SYMPAL</c:v>
                </c:pt>
              </c:strCache>
            </c:strRef>
          </c:cat>
          <c:val>
            <c:numRef>
              <c:f>Analysis!$AL$70:$AL$76</c:f>
              <c:numCache>
                <c:formatCode>General</c:formatCode>
                <c:ptCount val="7"/>
                <c:pt idx="0">
                  <c:v>0.32500000000000001</c:v>
                </c:pt>
                <c:pt idx="1">
                  <c:v>0.17499999999999999</c:v>
                </c:pt>
                <c:pt idx="2">
                  <c:v>0.42499999999999999</c:v>
                </c:pt>
                <c:pt idx="3">
                  <c:v>0.17499999999999999</c:v>
                </c:pt>
                <c:pt idx="4">
                  <c:v>0.35</c:v>
                </c:pt>
                <c:pt idx="5">
                  <c:v>0.22500000000000001</c:v>
                </c:pt>
                <c:pt idx="6">
                  <c:v>0.47499999999999998</c:v>
                </c:pt>
              </c:numCache>
            </c:numRef>
          </c:val>
        </c:ser>
        <c:ser>
          <c:idx val="1"/>
          <c:order val="1"/>
          <c:tx>
            <c:strRef>
              <c:f>Analysis!$AM$69</c:f>
              <c:strCache>
                <c:ptCount val="1"/>
                <c:pt idx="0">
                  <c:v> + inoc / + lime</c:v>
                </c:pt>
              </c:strCache>
            </c:strRef>
          </c:tx>
          <c:invertIfNegative val="0"/>
          <c:errBars>
            <c:errBarType val="both"/>
            <c:errValType val="cust"/>
            <c:noEndCap val="0"/>
            <c:plus>
              <c:numRef>
                <c:f>Analysis!$AS$70:$AS$76</c:f>
                <c:numCache>
                  <c:formatCode>General</c:formatCode>
                  <c:ptCount val="7"/>
                  <c:pt idx="0">
                    <c:v>0.34731109973624402</c:v>
                  </c:pt>
                  <c:pt idx="1">
                    <c:v>0.27499999999999875</c:v>
                  </c:pt>
                  <c:pt idx="2">
                    <c:v>0.29545163168726585</c:v>
                  </c:pt>
                  <c:pt idx="3">
                    <c:v>0.17969882210706256</c:v>
                  </c:pt>
                  <c:pt idx="4">
                    <c:v>0.10307764064044059</c:v>
                  </c:pt>
                  <c:pt idx="5">
                    <c:v>0.26299556396765134</c:v>
                  </c:pt>
                  <c:pt idx="6">
                    <c:v>0.39350435704366238</c:v>
                  </c:pt>
                </c:numCache>
              </c:numRef>
            </c:plus>
            <c:minus>
              <c:numRef>
                <c:f>Analysis!$AS$70:$AS$76</c:f>
                <c:numCache>
                  <c:formatCode>General</c:formatCode>
                  <c:ptCount val="7"/>
                  <c:pt idx="0">
                    <c:v>0.34731109973624402</c:v>
                  </c:pt>
                  <c:pt idx="1">
                    <c:v>0.27499999999999875</c:v>
                  </c:pt>
                  <c:pt idx="2">
                    <c:v>0.29545163168726585</c:v>
                  </c:pt>
                  <c:pt idx="3">
                    <c:v>0.17969882210706256</c:v>
                  </c:pt>
                  <c:pt idx="4">
                    <c:v>0.10307764064044059</c:v>
                  </c:pt>
                  <c:pt idx="5">
                    <c:v>0.26299556396765134</c:v>
                  </c:pt>
                  <c:pt idx="6">
                    <c:v>0.39350435704366238</c:v>
                  </c:pt>
                </c:numCache>
              </c:numRef>
            </c:minus>
          </c:errBars>
          <c:cat>
            <c:strRef>
              <c:f>Analysis!$AK$70:$AK$76</c:f>
              <c:strCache>
                <c:ptCount val="7"/>
                <c:pt idx="0">
                  <c:v>NONE</c:v>
                </c:pt>
                <c:pt idx="1">
                  <c:v>DAP</c:v>
                </c:pt>
                <c:pt idx="2">
                  <c:v>MRP-DUST</c:v>
                </c:pt>
                <c:pt idx="3">
                  <c:v>MRP-PALLETS</c:v>
                </c:pt>
                <c:pt idx="4">
                  <c:v>TSP</c:v>
                </c:pt>
                <c:pt idx="5">
                  <c:v>TSP/KCL</c:v>
                </c:pt>
                <c:pt idx="6">
                  <c:v>SYMPAL</c:v>
                </c:pt>
              </c:strCache>
            </c:strRef>
          </c:cat>
          <c:val>
            <c:numRef>
              <c:f>Analysis!$AM$70:$AM$76</c:f>
              <c:numCache>
                <c:formatCode>General</c:formatCode>
                <c:ptCount val="7"/>
                <c:pt idx="0">
                  <c:v>3.7750000000000004</c:v>
                </c:pt>
                <c:pt idx="1">
                  <c:v>3.9250000000000003</c:v>
                </c:pt>
                <c:pt idx="2">
                  <c:v>4.4249999999999998</c:v>
                </c:pt>
                <c:pt idx="3">
                  <c:v>3.8750000000000004</c:v>
                </c:pt>
                <c:pt idx="4">
                  <c:v>4.375</c:v>
                </c:pt>
                <c:pt idx="5">
                  <c:v>4.5500000000000007</c:v>
                </c:pt>
                <c:pt idx="6">
                  <c:v>3.5277777777777777</c:v>
                </c:pt>
              </c:numCache>
            </c:numRef>
          </c:val>
        </c:ser>
        <c:dLbls>
          <c:showLegendKey val="0"/>
          <c:showVal val="0"/>
          <c:showCatName val="0"/>
          <c:showSerName val="0"/>
          <c:showPercent val="0"/>
          <c:showBubbleSize val="0"/>
        </c:dLbls>
        <c:gapWidth val="150"/>
        <c:axId val="179781632"/>
        <c:axId val="179783168"/>
      </c:barChart>
      <c:catAx>
        <c:axId val="179781632"/>
        <c:scaling>
          <c:orientation val="minMax"/>
        </c:scaling>
        <c:delete val="0"/>
        <c:axPos val="b"/>
        <c:majorTickMark val="out"/>
        <c:minorTickMark val="none"/>
        <c:tickLblPos val="nextTo"/>
        <c:crossAx val="179783168"/>
        <c:crosses val="autoZero"/>
        <c:auto val="1"/>
        <c:lblAlgn val="ctr"/>
        <c:lblOffset val="100"/>
        <c:noMultiLvlLbl val="0"/>
      </c:catAx>
      <c:valAx>
        <c:axId val="179783168"/>
        <c:scaling>
          <c:orientation val="minMax"/>
        </c:scaling>
        <c:delete val="0"/>
        <c:axPos val="l"/>
        <c:title>
          <c:tx>
            <c:rich>
              <a:bodyPr rot="-5400000" vert="horz"/>
              <a:lstStyle/>
              <a:p>
                <a:pPr>
                  <a:defRPr/>
                </a:pPr>
                <a:r>
                  <a:rPr lang="en-US"/>
                  <a:t>Soybean nodule score</a:t>
                </a:r>
              </a:p>
            </c:rich>
          </c:tx>
          <c:overlay val="0"/>
        </c:title>
        <c:numFmt formatCode="General" sourceLinked="1"/>
        <c:majorTickMark val="out"/>
        <c:minorTickMark val="none"/>
        <c:tickLblPos val="nextTo"/>
        <c:crossAx val="179781632"/>
        <c:crosses val="autoZero"/>
        <c:crossBetween val="between"/>
      </c:valAx>
    </c:plotArea>
    <c:legend>
      <c:legendPos val="tr"/>
      <c:layout>
        <c:manualLayout>
          <c:xMode val="edge"/>
          <c:yMode val="edge"/>
          <c:x val="0.78690354330708656"/>
          <c:y val="4.6296296296296294E-3"/>
          <c:w val="0.21309645669291338"/>
          <c:h val="0.16743438320209975"/>
        </c:manualLayout>
      </c:layout>
      <c:overlay val="1"/>
    </c:legend>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Analysis!$AL$43</c:f>
              <c:strCache>
                <c:ptCount val="1"/>
                <c:pt idx="0">
                  <c:v> - inoc</c:v>
                </c:pt>
              </c:strCache>
            </c:strRef>
          </c:tx>
          <c:invertIfNegative val="0"/>
          <c:errBars>
            <c:errBarType val="both"/>
            <c:errValType val="cust"/>
            <c:noEndCap val="0"/>
            <c:plus>
              <c:numRef>
                <c:f>Analysis!$AR$44:$AR$50</c:f>
                <c:numCache>
                  <c:formatCode>General</c:formatCode>
                  <c:ptCount val="7"/>
                  <c:pt idx="0">
                    <c:v>56.570468245206577</c:v>
                  </c:pt>
                  <c:pt idx="1">
                    <c:v>107.4691901229295</c:v>
                  </c:pt>
                  <c:pt idx="2">
                    <c:v>184.45562534865704</c:v>
                  </c:pt>
                  <c:pt idx="3">
                    <c:v>53.72269052024798</c:v>
                  </c:pt>
                  <c:pt idx="4">
                    <c:v>134.4349984539445</c:v>
                  </c:pt>
                  <c:pt idx="5">
                    <c:v>133.75556585884542</c:v>
                  </c:pt>
                  <c:pt idx="6">
                    <c:v>86.877759914819706</c:v>
                  </c:pt>
                </c:numCache>
              </c:numRef>
            </c:plus>
            <c:minus>
              <c:numRef>
                <c:f>Analysis!$AR$44:$AR$50</c:f>
                <c:numCache>
                  <c:formatCode>General</c:formatCode>
                  <c:ptCount val="7"/>
                  <c:pt idx="0">
                    <c:v>56.570468245206577</c:v>
                  </c:pt>
                  <c:pt idx="1">
                    <c:v>107.4691901229295</c:v>
                  </c:pt>
                  <c:pt idx="2">
                    <c:v>184.45562534865704</c:v>
                  </c:pt>
                  <c:pt idx="3">
                    <c:v>53.72269052024798</c:v>
                  </c:pt>
                  <c:pt idx="4">
                    <c:v>134.4349984539445</c:v>
                  </c:pt>
                  <c:pt idx="5">
                    <c:v>133.75556585884542</c:v>
                  </c:pt>
                  <c:pt idx="6">
                    <c:v>86.877759914819706</c:v>
                  </c:pt>
                </c:numCache>
              </c:numRef>
            </c:minus>
          </c:errBars>
          <c:cat>
            <c:strRef>
              <c:f>Analysis!$AK$44:$AK$50</c:f>
              <c:strCache>
                <c:ptCount val="7"/>
                <c:pt idx="0">
                  <c:v>NONE</c:v>
                </c:pt>
                <c:pt idx="1">
                  <c:v>DAP</c:v>
                </c:pt>
                <c:pt idx="2">
                  <c:v>MRP-DUST</c:v>
                </c:pt>
                <c:pt idx="3">
                  <c:v>MRP-PALLETS</c:v>
                </c:pt>
                <c:pt idx="4">
                  <c:v>TSP</c:v>
                </c:pt>
                <c:pt idx="5">
                  <c:v>TSP/KCL</c:v>
                </c:pt>
                <c:pt idx="6">
                  <c:v>SYMPAL</c:v>
                </c:pt>
              </c:strCache>
            </c:strRef>
          </c:cat>
          <c:val>
            <c:numRef>
              <c:f>Analysis!$AL$44:$AL$50</c:f>
              <c:numCache>
                <c:formatCode>General</c:formatCode>
                <c:ptCount val="7"/>
                <c:pt idx="0">
                  <c:v>594.75126020665084</c:v>
                </c:pt>
                <c:pt idx="1">
                  <c:v>807.17301098849146</c:v>
                </c:pt>
                <c:pt idx="2">
                  <c:v>777.19059783344494</c:v>
                </c:pt>
                <c:pt idx="3">
                  <c:v>715.74945548785047</c:v>
                </c:pt>
                <c:pt idx="4">
                  <c:v>950.80293080807803</c:v>
                </c:pt>
                <c:pt idx="5">
                  <c:v>780.42996761219126</c:v>
                </c:pt>
                <c:pt idx="6">
                  <c:v>855.22541473259332</c:v>
                </c:pt>
              </c:numCache>
            </c:numRef>
          </c:val>
        </c:ser>
        <c:ser>
          <c:idx val="1"/>
          <c:order val="1"/>
          <c:tx>
            <c:strRef>
              <c:f>Analysis!$AM$43</c:f>
              <c:strCache>
                <c:ptCount val="1"/>
                <c:pt idx="0">
                  <c:v> + inoc</c:v>
                </c:pt>
              </c:strCache>
            </c:strRef>
          </c:tx>
          <c:invertIfNegative val="0"/>
          <c:errBars>
            <c:errBarType val="both"/>
            <c:errValType val="cust"/>
            <c:noEndCap val="0"/>
            <c:plus>
              <c:numRef>
                <c:f>Analysis!$AS$44:$AS$50</c:f>
                <c:numCache>
                  <c:formatCode>General</c:formatCode>
                  <c:ptCount val="7"/>
                  <c:pt idx="0">
                    <c:v>45.323668081691984</c:v>
                  </c:pt>
                  <c:pt idx="1">
                    <c:v>140.51971742001237</c:v>
                  </c:pt>
                  <c:pt idx="2">
                    <c:v>154.78397834032447</c:v>
                  </c:pt>
                  <c:pt idx="3">
                    <c:v>262.99343123429031</c:v>
                  </c:pt>
                  <c:pt idx="4">
                    <c:v>232.29007257826916</c:v>
                  </c:pt>
                  <c:pt idx="5">
                    <c:v>268.83107745983875</c:v>
                  </c:pt>
                  <c:pt idx="6">
                    <c:v>163.42714286760364</c:v>
                  </c:pt>
                </c:numCache>
              </c:numRef>
            </c:plus>
            <c:minus>
              <c:numRef>
                <c:f>Analysis!$AS$44:$AS$50</c:f>
                <c:numCache>
                  <c:formatCode>General</c:formatCode>
                  <c:ptCount val="7"/>
                  <c:pt idx="0">
                    <c:v>45.323668081691984</c:v>
                  </c:pt>
                  <c:pt idx="1">
                    <c:v>140.51971742001237</c:v>
                  </c:pt>
                  <c:pt idx="2">
                    <c:v>154.78397834032447</c:v>
                  </c:pt>
                  <c:pt idx="3">
                    <c:v>262.99343123429031</c:v>
                  </c:pt>
                  <c:pt idx="4">
                    <c:v>232.29007257826916</c:v>
                  </c:pt>
                  <c:pt idx="5">
                    <c:v>268.83107745983875</c:v>
                  </c:pt>
                  <c:pt idx="6">
                    <c:v>163.42714286760364</c:v>
                  </c:pt>
                </c:numCache>
              </c:numRef>
            </c:minus>
          </c:errBars>
          <c:cat>
            <c:strRef>
              <c:f>Analysis!$AK$44:$AK$50</c:f>
              <c:strCache>
                <c:ptCount val="7"/>
                <c:pt idx="0">
                  <c:v>NONE</c:v>
                </c:pt>
                <c:pt idx="1">
                  <c:v>DAP</c:v>
                </c:pt>
                <c:pt idx="2">
                  <c:v>MRP-DUST</c:v>
                </c:pt>
                <c:pt idx="3">
                  <c:v>MRP-PALLETS</c:v>
                </c:pt>
                <c:pt idx="4">
                  <c:v>TSP</c:v>
                </c:pt>
                <c:pt idx="5">
                  <c:v>TSP/KCL</c:v>
                </c:pt>
                <c:pt idx="6">
                  <c:v>SYMPAL</c:v>
                </c:pt>
              </c:strCache>
            </c:strRef>
          </c:cat>
          <c:val>
            <c:numRef>
              <c:f>Analysis!$AM$44:$AM$50</c:f>
              <c:numCache>
                <c:formatCode>General</c:formatCode>
                <c:ptCount val="7"/>
                <c:pt idx="0">
                  <c:v>671.18509410955483</c:v>
                </c:pt>
                <c:pt idx="1">
                  <c:v>1075.2880814531406</c:v>
                </c:pt>
                <c:pt idx="2">
                  <c:v>1797.8054716616714</c:v>
                </c:pt>
                <c:pt idx="3">
                  <c:v>1625.4433288342307</c:v>
                </c:pt>
                <c:pt idx="4">
                  <c:v>1470.9925121827025</c:v>
                </c:pt>
                <c:pt idx="5">
                  <c:v>1326.8273386662222</c:v>
                </c:pt>
                <c:pt idx="6">
                  <c:v>1085.3503260845728</c:v>
                </c:pt>
              </c:numCache>
            </c:numRef>
          </c:val>
        </c:ser>
        <c:dLbls>
          <c:showLegendKey val="0"/>
          <c:showVal val="0"/>
          <c:showCatName val="0"/>
          <c:showSerName val="0"/>
          <c:showPercent val="0"/>
          <c:showBubbleSize val="0"/>
        </c:dLbls>
        <c:gapWidth val="150"/>
        <c:axId val="179817472"/>
        <c:axId val="179938048"/>
      </c:barChart>
      <c:catAx>
        <c:axId val="179817472"/>
        <c:scaling>
          <c:orientation val="minMax"/>
        </c:scaling>
        <c:delete val="0"/>
        <c:axPos val="b"/>
        <c:majorTickMark val="out"/>
        <c:minorTickMark val="none"/>
        <c:tickLblPos val="nextTo"/>
        <c:crossAx val="179938048"/>
        <c:crosses val="autoZero"/>
        <c:auto val="1"/>
        <c:lblAlgn val="ctr"/>
        <c:lblOffset val="100"/>
        <c:noMultiLvlLbl val="0"/>
      </c:catAx>
      <c:valAx>
        <c:axId val="179938048"/>
        <c:scaling>
          <c:orientation val="minMax"/>
        </c:scaling>
        <c:delete val="0"/>
        <c:axPos val="l"/>
        <c:title>
          <c:tx>
            <c:rich>
              <a:bodyPr rot="-5400000" vert="horz"/>
              <a:lstStyle/>
              <a:p>
                <a:pPr>
                  <a:defRPr/>
                </a:pPr>
                <a:r>
                  <a:rPr lang="en-US"/>
                  <a:t>Soybean grain yield (kg/ha)</a:t>
                </a:r>
              </a:p>
            </c:rich>
          </c:tx>
          <c:overlay val="0"/>
        </c:title>
        <c:numFmt formatCode="General" sourceLinked="1"/>
        <c:majorTickMark val="out"/>
        <c:minorTickMark val="none"/>
        <c:tickLblPos val="nextTo"/>
        <c:crossAx val="179817472"/>
        <c:crosses val="autoZero"/>
        <c:crossBetween val="between"/>
      </c:valAx>
    </c:plotArea>
    <c:legend>
      <c:legendPos val="tr"/>
      <c:layout>
        <c:manualLayout>
          <c:xMode val="edge"/>
          <c:yMode val="edge"/>
          <c:x val="0.75683442694663172"/>
          <c:y val="2.7777777777777776E-2"/>
          <c:w val="0.22649890638670164"/>
          <c:h val="9.3360309128025648E-2"/>
        </c:manualLayout>
      </c:layout>
      <c:overlay val="1"/>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Analysis!$AL$79</c:f>
              <c:strCache>
                <c:ptCount val="1"/>
                <c:pt idx="0">
                  <c:v> - inoc / - lime</c:v>
                </c:pt>
              </c:strCache>
            </c:strRef>
          </c:tx>
          <c:invertIfNegative val="0"/>
          <c:errBars>
            <c:errBarType val="both"/>
            <c:errValType val="cust"/>
            <c:noEndCap val="0"/>
            <c:plus>
              <c:numRef>
                <c:f>Analysis!$AR$80:$AR$86</c:f>
                <c:numCache>
                  <c:formatCode>General</c:formatCode>
                  <c:ptCount val="7"/>
                  <c:pt idx="0">
                    <c:v>72.000468514883352</c:v>
                  </c:pt>
                  <c:pt idx="1">
                    <c:v>152.77408061573618</c:v>
                  </c:pt>
                  <c:pt idx="2">
                    <c:v>261.53447360734981</c:v>
                  </c:pt>
                  <c:pt idx="3">
                    <c:v>64.922737139687186</c:v>
                  </c:pt>
                  <c:pt idx="4">
                    <c:v>163.8300708481564</c:v>
                  </c:pt>
                  <c:pt idx="5">
                    <c:v>144.34189195141659</c:v>
                  </c:pt>
                  <c:pt idx="6">
                    <c:v>117.03955519285584</c:v>
                  </c:pt>
                </c:numCache>
              </c:numRef>
            </c:plus>
            <c:minus>
              <c:numRef>
                <c:f>Analysis!$AR$80:$AR$86</c:f>
                <c:numCache>
                  <c:formatCode>General</c:formatCode>
                  <c:ptCount val="7"/>
                  <c:pt idx="0">
                    <c:v>72.000468514883352</c:v>
                  </c:pt>
                  <c:pt idx="1">
                    <c:v>152.77408061573618</c:v>
                  </c:pt>
                  <c:pt idx="2">
                    <c:v>261.53447360734981</c:v>
                  </c:pt>
                  <c:pt idx="3">
                    <c:v>64.922737139687186</c:v>
                  </c:pt>
                  <c:pt idx="4">
                    <c:v>163.8300708481564</c:v>
                  </c:pt>
                  <c:pt idx="5">
                    <c:v>144.34189195141659</c:v>
                  </c:pt>
                  <c:pt idx="6">
                    <c:v>117.03955519285584</c:v>
                  </c:pt>
                </c:numCache>
              </c:numRef>
            </c:minus>
          </c:errBars>
          <c:cat>
            <c:strRef>
              <c:f>Analysis!$AK$80:$AK$86</c:f>
              <c:strCache>
                <c:ptCount val="7"/>
                <c:pt idx="0">
                  <c:v>NONE</c:v>
                </c:pt>
                <c:pt idx="1">
                  <c:v>DAP</c:v>
                </c:pt>
                <c:pt idx="2">
                  <c:v>MRP-DUST</c:v>
                </c:pt>
                <c:pt idx="3">
                  <c:v>MRP-PALLETS</c:v>
                </c:pt>
                <c:pt idx="4">
                  <c:v>TSP</c:v>
                </c:pt>
                <c:pt idx="5">
                  <c:v>TSP/KCL</c:v>
                </c:pt>
                <c:pt idx="6">
                  <c:v>SYMPAL</c:v>
                </c:pt>
              </c:strCache>
            </c:strRef>
          </c:cat>
          <c:val>
            <c:numRef>
              <c:f>Analysis!$AL$80:$AL$86</c:f>
              <c:numCache>
                <c:formatCode>General</c:formatCode>
                <c:ptCount val="7"/>
                <c:pt idx="0">
                  <c:v>610.16567654714538</c:v>
                </c:pt>
                <c:pt idx="1">
                  <c:v>873.90425894010355</c:v>
                </c:pt>
                <c:pt idx="2">
                  <c:v>898.88910054156167</c:v>
                </c:pt>
                <c:pt idx="3">
                  <c:v>732.2601283581098</c:v>
                </c:pt>
                <c:pt idx="4">
                  <c:v>952.57073923521602</c:v>
                </c:pt>
                <c:pt idx="5">
                  <c:v>930.32989652797585</c:v>
                </c:pt>
                <c:pt idx="6">
                  <c:v>906.57883455619037</c:v>
                </c:pt>
              </c:numCache>
            </c:numRef>
          </c:val>
        </c:ser>
        <c:ser>
          <c:idx val="1"/>
          <c:order val="1"/>
          <c:tx>
            <c:strRef>
              <c:f>Analysis!$AM$79</c:f>
              <c:strCache>
                <c:ptCount val="1"/>
                <c:pt idx="0">
                  <c:v> + inoc / + lime</c:v>
                </c:pt>
              </c:strCache>
            </c:strRef>
          </c:tx>
          <c:invertIfNegative val="0"/>
          <c:errBars>
            <c:errBarType val="both"/>
            <c:errValType val="cust"/>
            <c:noEndCap val="0"/>
            <c:plus>
              <c:numRef>
                <c:f>Analysis!$AS$80:$AS$86</c:f>
                <c:numCache>
                  <c:formatCode>General</c:formatCode>
                  <c:ptCount val="7"/>
                  <c:pt idx="0">
                    <c:v>47.717704894821374</c:v>
                  </c:pt>
                  <c:pt idx="1">
                    <c:v>123.15210593454864</c:v>
                  </c:pt>
                  <c:pt idx="2">
                    <c:v>230.25570897584856</c:v>
                  </c:pt>
                  <c:pt idx="3">
                    <c:v>392.38739487041988</c:v>
                  </c:pt>
                  <c:pt idx="4">
                    <c:v>362.73757625980227</c:v>
                  </c:pt>
                  <c:pt idx="5">
                    <c:v>238.82682599679418</c:v>
                  </c:pt>
                  <c:pt idx="6">
                    <c:v>240.04883348377493</c:v>
                  </c:pt>
                </c:numCache>
              </c:numRef>
            </c:plus>
            <c:minus>
              <c:numRef>
                <c:f>Analysis!$AS$80:$AS$86</c:f>
                <c:numCache>
                  <c:formatCode>General</c:formatCode>
                  <c:ptCount val="7"/>
                  <c:pt idx="0">
                    <c:v>47.717704894821374</c:v>
                  </c:pt>
                  <c:pt idx="1">
                    <c:v>123.15210593454864</c:v>
                  </c:pt>
                  <c:pt idx="2">
                    <c:v>230.25570897584856</c:v>
                  </c:pt>
                  <c:pt idx="3">
                    <c:v>392.38739487041988</c:v>
                  </c:pt>
                  <c:pt idx="4">
                    <c:v>362.73757625980227</c:v>
                  </c:pt>
                  <c:pt idx="5">
                    <c:v>238.82682599679418</c:v>
                  </c:pt>
                  <c:pt idx="6">
                    <c:v>240.04883348377493</c:v>
                  </c:pt>
                </c:numCache>
              </c:numRef>
            </c:minus>
          </c:errBars>
          <c:cat>
            <c:strRef>
              <c:f>Analysis!$AK$80:$AK$86</c:f>
              <c:strCache>
                <c:ptCount val="7"/>
                <c:pt idx="0">
                  <c:v>NONE</c:v>
                </c:pt>
                <c:pt idx="1">
                  <c:v>DAP</c:v>
                </c:pt>
                <c:pt idx="2">
                  <c:v>MRP-DUST</c:v>
                </c:pt>
                <c:pt idx="3">
                  <c:v>MRP-PALLETS</c:v>
                </c:pt>
                <c:pt idx="4">
                  <c:v>TSP</c:v>
                </c:pt>
                <c:pt idx="5">
                  <c:v>TSP/KCL</c:v>
                </c:pt>
                <c:pt idx="6">
                  <c:v>SYMPAL</c:v>
                </c:pt>
              </c:strCache>
            </c:strRef>
          </c:cat>
          <c:val>
            <c:numRef>
              <c:f>Analysis!$AM$80:$AM$86</c:f>
              <c:numCache>
                <c:formatCode>General</c:formatCode>
                <c:ptCount val="7"/>
                <c:pt idx="0">
                  <c:v>641.11619874990549</c:v>
                </c:pt>
                <c:pt idx="1">
                  <c:v>1007.2760647357391</c:v>
                </c:pt>
                <c:pt idx="2">
                  <c:v>1825.5484266160729</c:v>
                </c:pt>
                <c:pt idx="3">
                  <c:v>1599.9981798950528</c:v>
                </c:pt>
                <c:pt idx="4">
                  <c:v>1507.4916507820321</c:v>
                </c:pt>
                <c:pt idx="5">
                  <c:v>1109.2051705708402</c:v>
                </c:pt>
                <c:pt idx="6">
                  <c:v>1119.1037289492738</c:v>
                </c:pt>
              </c:numCache>
            </c:numRef>
          </c:val>
        </c:ser>
        <c:dLbls>
          <c:showLegendKey val="0"/>
          <c:showVal val="0"/>
          <c:showCatName val="0"/>
          <c:showSerName val="0"/>
          <c:showPercent val="0"/>
          <c:showBubbleSize val="0"/>
        </c:dLbls>
        <c:gapWidth val="150"/>
        <c:axId val="180311936"/>
        <c:axId val="180313472"/>
      </c:barChart>
      <c:catAx>
        <c:axId val="180311936"/>
        <c:scaling>
          <c:orientation val="minMax"/>
        </c:scaling>
        <c:delete val="0"/>
        <c:axPos val="b"/>
        <c:majorTickMark val="out"/>
        <c:minorTickMark val="none"/>
        <c:tickLblPos val="nextTo"/>
        <c:crossAx val="180313472"/>
        <c:crosses val="autoZero"/>
        <c:auto val="1"/>
        <c:lblAlgn val="ctr"/>
        <c:lblOffset val="100"/>
        <c:noMultiLvlLbl val="0"/>
      </c:catAx>
      <c:valAx>
        <c:axId val="180313472"/>
        <c:scaling>
          <c:orientation val="minMax"/>
        </c:scaling>
        <c:delete val="0"/>
        <c:axPos val="l"/>
        <c:title>
          <c:tx>
            <c:rich>
              <a:bodyPr rot="-5400000" vert="horz"/>
              <a:lstStyle/>
              <a:p>
                <a:pPr>
                  <a:defRPr/>
                </a:pPr>
                <a:r>
                  <a:rPr lang="en-US"/>
                  <a:t>Soybean grain yield (kg/ha)</a:t>
                </a:r>
              </a:p>
            </c:rich>
          </c:tx>
          <c:overlay val="0"/>
        </c:title>
        <c:numFmt formatCode="General" sourceLinked="1"/>
        <c:majorTickMark val="out"/>
        <c:minorTickMark val="none"/>
        <c:tickLblPos val="nextTo"/>
        <c:crossAx val="180311936"/>
        <c:crosses val="autoZero"/>
        <c:crossBetween val="between"/>
      </c:valAx>
    </c:plotArea>
    <c:legend>
      <c:legendPos val="tr"/>
      <c:overlay val="1"/>
    </c:legend>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Analysis!$AL$53</c:f>
              <c:strCache>
                <c:ptCount val="1"/>
                <c:pt idx="0">
                  <c:v> - inoc</c:v>
                </c:pt>
              </c:strCache>
            </c:strRef>
          </c:tx>
          <c:invertIfNegative val="0"/>
          <c:errBars>
            <c:errBarType val="both"/>
            <c:errValType val="cust"/>
            <c:noEndCap val="0"/>
            <c:plus>
              <c:numRef>
                <c:f>Analysis!$AR$54:$AR$60</c:f>
                <c:numCache>
                  <c:formatCode>General</c:formatCode>
                  <c:ptCount val="7"/>
                  <c:pt idx="0">
                    <c:v>90.207120095210016</c:v>
                  </c:pt>
                  <c:pt idx="1">
                    <c:v>226.94593284560307</c:v>
                  </c:pt>
                  <c:pt idx="2">
                    <c:v>223.61034938100522</c:v>
                  </c:pt>
                  <c:pt idx="3">
                    <c:v>153.5480828384579</c:v>
                  </c:pt>
                  <c:pt idx="4">
                    <c:v>170.25483016514616</c:v>
                  </c:pt>
                  <c:pt idx="5">
                    <c:v>243.38050363916909</c:v>
                  </c:pt>
                  <c:pt idx="6">
                    <c:v>189.14875423436837</c:v>
                  </c:pt>
                </c:numCache>
              </c:numRef>
            </c:plus>
            <c:minus>
              <c:numRef>
                <c:f>Analysis!$AR$54:$AR$60</c:f>
                <c:numCache>
                  <c:formatCode>General</c:formatCode>
                  <c:ptCount val="7"/>
                  <c:pt idx="0">
                    <c:v>90.207120095210016</c:v>
                  </c:pt>
                  <c:pt idx="1">
                    <c:v>226.94593284560307</c:v>
                  </c:pt>
                  <c:pt idx="2">
                    <c:v>223.61034938100522</c:v>
                  </c:pt>
                  <c:pt idx="3">
                    <c:v>153.5480828384579</c:v>
                  </c:pt>
                  <c:pt idx="4">
                    <c:v>170.25483016514616</c:v>
                  </c:pt>
                  <c:pt idx="5">
                    <c:v>243.38050363916909</c:v>
                  </c:pt>
                  <c:pt idx="6">
                    <c:v>189.14875423436837</c:v>
                  </c:pt>
                </c:numCache>
              </c:numRef>
            </c:minus>
          </c:errBars>
          <c:cat>
            <c:strRef>
              <c:f>Analysis!$AK$54:$AK$60</c:f>
              <c:strCache>
                <c:ptCount val="7"/>
                <c:pt idx="0">
                  <c:v>NONE</c:v>
                </c:pt>
                <c:pt idx="1">
                  <c:v>DAP</c:v>
                </c:pt>
                <c:pt idx="2">
                  <c:v>MRP-DUST</c:v>
                </c:pt>
                <c:pt idx="3">
                  <c:v>MRP-PALLETS</c:v>
                </c:pt>
                <c:pt idx="4">
                  <c:v>TSP</c:v>
                </c:pt>
                <c:pt idx="5">
                  <c:v>TSP/KCL</c:v>
                </c:pt>
                <c:pt idx="6">
                  <c:v>SYMPAL</c:v>
                </c:pt>
              </c:strCache>
            </c:strRef>
          </c:cat>
          <c:val>
            <c:numRef>
              <c:f>Analysis!$AL$54:$AL$60</c:f>
              <c:numCache>
                <c:formatCode>General</c:formatCode>
                <c:ptCount val="7"/>
                <c:pt idx="0">
                  <c:v>1288.8042194219158</c:v>
                </c:pt>
                <c:pt idx="1">
                  <c:v>1516.8237657390534</c:v>
                </c:pt>
                <c:pt idx="2">
                  <c:v>1294.9474709412461</c:v>
                </c:pt>
                <c:pt idx="3">
                  <c:v>1367.8417548434197</c:v>
                </c:pt>
                <c:pt idx="4">
                  <c:v>1540.2034380494849</c:v>
                </c:pt>
                <c:pt idx="5">
                  <c:v>1394.561529615625</c:v>
                </c:pt>
                <c:pt idx="6">
                  <c:v>1518.2491938611618</c:v>
                </c:pt>
              </c:numCache>
            </c:numRef>
          </c:val>
        </c:ser>
        <c:ser>
          <c:idx val="1"/>
          <c:order val="1"/>
          <c:tx>
            <c:strRef>
              <c:f>Analysis!$AM$53</c:f>
              <c:strCache>
                <c:ptCount val="1"/>
                <c:pt idx="0">
                  <c:v> + inoc</c:v>
                </c:pt>
              </c:strCache>
            </c:strRef>
          </c:tx>
          <c:invertIfNegative val="0"/>
          <c:errBars>
            <c:errBarType val="both"/>
            <c:errValType val="cust"/>
            <c:noEndCap val="0"/>
            <c:plus>
              <c:numRef>
                <c:f>Analysis!$AS$54:$AS$60</c:f>
                <c:numCache>
                  <c:formatCode>General</c:formatCode>
                  <c:ptCount val="7"/>
                  <c:pt idx="0">
                    <c:v>96.621331633663814</c:v>
                  </c:pt>
                  <c:pt idx="1">
                    <c:v>129.40554542459975</c:v>
                  </c:pt>
                  <c:pt idx="2">
                    <c:v>126.82342597809705</c:v>
                  </c:pt>
                  <c:pt idx="3">
                    <c:v>187.90055020164888</c:v>
                  </c:pt>
                  <c:pt idx="4">
                    <c:v>164.43821968937155</c:v>
                  </c:pt>
                  <c:pt idx="5">
                    <c:v>259.14883733338547</c:v>
                  </c:pt>
                  <c:pt idx="6">
                    <c:v>105.34932100600491</c:v>
                  </c:pt>
                </c:numCache>
              </c:numRef>
            </c:plus>
            <c:minus>
              <c:numRef>
                <c:f>Analysis!$AS$54:$AS$60</c:f>
                <c:numCache>
                  <c:formatCode>General</c:formatCode>
                  <c:ptCount val="7"/>
                  <c:pt idx="0">
                    <c:v>96.621331633663814</c:v>
                  </c:pt>
                  <c:pt idx="1">
                    <c:v>129.40554542459975</c:v>
                  </c:pt>
                  <c:pt idx="2">
                    <c:v>126.82342597809705</c:v>
                  </c:pt>
                  <c:pt idx="3">
                    <c:v>187.90055020164888</c:v>
                  </c:pt>
                  <c:pt idx="4">
                    <c:v>164.43821968937155</c:v>
                  </c:pt>
                  <c:pt idx="5">
                    <c:v>259.14883733338547</c:v>
                  </c:pt>
                  <c:pt idx="6">
                    <c:v>105.34932100600491</c:v>
                  </c:pt>
                </c:numCache>
              </c:numRef>
            </c:minus>
          </c:errBars>
          <c:cat>
            <c:strRef>
              <c:f>Analysis!$AK$54:$AK$60</c:f>
              <c:strCache>
                <c:ptCount val="7"/>
                <c:pt idx="0">
                  <c:v>NONE</c:v>
                </c:pt>
                <c:pt idx="1">
                  <c:v>DAP</c:v>
                </c:pt>
                <c:pt idx="2">
                  <c:v>MRP-DUST</c:v>
                </c:pt>
                <c:pt idx="3">
                  <c:v>MRP-PALLETS</c:v>
                </c:pt>
                <c:pt idx="4">
                  <c:v>TSP</c:v>
                </c:pt>
                <c:pt idx="5">
                  <c:v>TSP/KCL</c:v>
                </c:pt>
                <c:pt idx="6">
                  <c:v>SYMPAL</c:v>
                </c:pt>
              </c:strCache>
            </c:strRef>
          </c:cat>
          <c:val>
            <c:numRef>
              <c:f>Analysis!$AM$54:$AM$60</c:f>
              <c:numCache>
                <c:formatCode>General</c:formatCode>
                <c:ptCount val="7"/>
                <c:pt idx="0">
                  <c:v>1104.2354008692853</c:v>
                </c:pt>
                <c:pt idx="1">
                  <c:v>1155.4231035265675</c:v>
                </c:pt>
                <c:pt idx="2">
                  <c:v>1583.6722859862323</c:v>
                </c:pt>
                <c:pt idx="3">
                  <c:v>1513.1918599501778</c:v>
                </c:pt>
                <c:pt idx="4">
                  <c:v>1291.9979838571778</c:v>
                </c:pt>
                <c:pt idx="5">
                  <c:v>1490.8355866062568</c:v>
                </c:pt>
                <c:pt idx="6">
                  <c:v>1111.2198836071427</c:v>
                </c:pt>
              </c:numCache>
            </c:numRef>
          </c:val>
        </c:ser>
        <c:dLbls>
          <c:showLegendKey val="0"/>
          <c:showVal val="0"/>
          <c:showCatName val="0"/>
          <c:showSerName val="0"/>
          <c:showPercent val="0"/>
          <c:showBubbleSize val="0"/>
        </c:dLbls>
        <c:gapWidth val="150"/>
        <c:axId val="180405376"/>
        <c:axId val="180406912"/>
      </c:barChart>
      <c:catAx>
        <c:axId val="180405376"/>
        <c:scaling>
          <c:orientation val="minMax"/>
        </c:scaling>
        <c:delete val="0"/>
        <c:axPos val="b"/>
        <c:numFmt formatCode="General" sourceLinked="1"/>
        <c:majorTickMark val="out"/>
        <c:minorTickMark val="none"/>
        <c:tickLblPos val="nextTo"/>
        <c:crossAx val="180406912"/>
        <c:crosses val="autoZero"/>
        <c:auto val="1"/>
        <c:lblAlgn val="ctr"/>
        <c:lblOffset val="100"/>
        <c:noMultiLvlLbl val="0"/>
      </c:catAx>
      <c:valAx>
        <c:axId val="180406912"/>
        <c:scaling>
          <c:orientation val="minMax"/>
        </c:scaling>
        <c:delete val="0"/>
        <c:axPos val="l"/>
        <c:title>
          <c:tx>
            <c:rich>
              <a:bodyPr rot="-5400000" vert="horz"/>
              <a:lstStyle/>
              <a:p>
                <a:pPr>
                  <a:defRPr/>
                </a:pPr>
                <a:r>
                  <a:rPr lang="en-US"/>
                  <a:t>Soybean stover yield (kg/ha)</a:t>
                </a:r>
              </a:p>
            </c:rich>
          </c:tx>
          <c:overlay val="0"/>
        </c:title>
        <c:numFmt formatCode="General" sourceLinked="1"/>
        <c:majorTickMark val="out"/>
        <c:minorTickMark val="none"/>
        <c:tickLblPos val="nextTo"/>
        <c:crossAx val="180405376"/>
        <c:crosses val="autoZero"/>
        <c:crossBetween val="between"/>
        <c:majorUnit val="500"/>
      </c:valAx>
    </c:plotArea>
    <c:legend>
      <c:legendPos val="tr"/>
      <c:layout>
        <c:manualLayout>
          <c:xMode val="edge"/>
          <c:yMode val="edge"/>
          <c:x val="0.75961220472440938"/>
          <c:y val="2.7777777777777776E-2"/>
          <c:w val="0.2237211286089239"/>
          <c:h val="7.9471420239136767E-2"/>
        </c:manualLayout>
      </c:layout>
      <c:overlay val="1"/>
    </c:legend>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Analysis!$AL$90</c:f>
              <c:strCache>
                <c:ptCount val="1"/>
                <c:pt idx="0">
                  <c:v> - inoc / - lime</c:v>
                </c:pt>
              </c:strCache>
            </c:strRef>
          </c:tx>
          <c:invertIfNegative val="0"/>
          <c:errBars>
            <c:errBarType val="both"/>
            <c:errValType val="cust"/>
            <c:noEndCap val="0"/>
            <c:plus>
              <c:numRef>
                <c:f>Analysis!$AR$91:$AR$97</c:f>
                <c:numCache>
                  <c:formatCode>General</c:formatCode>
                  <c:ptCount val="7"/>
                  <c:pt idx="0">
                    <c:v>107.26234645893841</c:v>
                  </c:pt>
                  <c:pt idx="1">
                    <c:v>327.22969333018204</c:v>
                  </c:pt>
                  <c:pt idx="2">
                    <c:v>309.5929065465055</c:v>
                  </c:pt>
                  <c:pt idx="3">
                    <c:v>224.57117991320519</c:v>
                  </c:pt>
                  <c:pt idx="4">
                    <c:v>226.21546776145667</c:v>
                  </c:pt>
                  <c:pt idx="5">
                    <c:v>311.59628987788943</c:v>
                  </c:pt>
                  <c:pt idx="6">
                    <c:v>284.18342651688903</c:v>
                  </c:pt>
                </c:numCache>
              </c:numRef>
            </c:plus>
            <c:minus>
              <c:numRef>
                <c:f>Analysis!$AR$91:$AR$97</c:f>
                <c:numCache>
                  <c:formatCode>General</c:formatCode>
                  <c:ptCount val="7"/>
                  <c:pt idx="0">
                    <c:v>107.26234645893841</c:v>
                  </c:pt>
                  <c:pt idx="1">
                    <c:v>327.22969333018204</c:v>
                  </c:pt>
                  <c:pt idx="2">
                    <c:v>309.5929065465055</c:v>
                  </c:pt>
                  <c:pt idx="3">
                    <c:v>224.57117991320519</c:v>
                  </c:pt>
                  <c:pt idx="4">
                    <c:v>226.21546776145667</c:v>
                  </c:pt>
                  <c:pt idx="5">
                    <c:v>311.59628987788943</c:v>
                  </c:pt>
                  <c:pt idx="6">
                    <c:v>284.18342651688903</c:v>
                  </c:pt>
                </c:numCache>
              </c:numRef>
            </c:minus>
          </c:errBars>
          <c:cat>
            <c:strRef>
              <c:f>Analysis!$AK$91:$AK$97</c:f>
              <c:strCache>
                <c:ptCount val="7"/>
                <c:pt idx="0">
                  <c:v>NONE</c:v>
                </c:pt>
                <c:pt idx="1">
                  <c:v>DAP</c:v>
                </c:pt>
                <c:pt idx="2">
                  <c:v>MRP-DUST</c:v>
                </c:pt>
                <c:pt idx="3">
                  <c:v>MRP-PALLETS</c:v>
                </c:pt>
                <c:pt idx="4">
                  <c:v>TSP</c:v>
                </c:pt>
                <c:pt idx="5">
                  <c:v>TSP/KCL</c:v>
                </c:pt>
                <c:pt idx="6">
                  <c:v>SYMPAL</c:v>
                </c:pt>
              </c:strCache>
            </c:strRef>
          </c:cat>
          <c:val>
            <c:numRef>
              <c:f>Analysis!$AL$91:$AL$97</c:f>
              <c:numCache>
                <c:formatCode>General</c:formatCode>
                <c:ptCount val="7"/>
                <c:pt idx="0">
                  <c:v>1367.3671201151333</c:v>
                </c:pt>
                <c:pt idx="1">
                  <c:v>1577.3300452376313</c:v>
                </c:pt>
                <c:pt idx="2">
                  <c:v>1462.9121657400315</c:v>
                </c:pt>
                <c:pt idx="3">
                  <c:v>1440.8895308619451</c:v>
                </c:pt>
                <c:pt idx="4">
                  <c:v>1564.9590844049112</c:v>
                </c:pt>
                <c:pt idx="5">
                  <c:v>1569.5074896103715</c:v>
                </c:pt>
                <c:pt idx="6">
                  <c:v>1573.4590811726432</c:v>
                </c:pt>
              </c:numCache>
            </c:numRef>
          </c:val>
        </c:ser>
        <c:ser>
          <c:idx val="1"/>
          <c:order val="1"/>
          <c:tx>
            <c:strRef>
              <c:f>Analysis!$AM$90</c:f>
              <c:strCache>
                <c:ptCount val="1"/>
                <c:pt idx="0">
                  <c:v> + inoc / + lime</c:v>
                </c:pt>
              </c:strCache>
            </c:strRef>
          </c:tx>
          <c:invertIfNegative val="0"/>
          <c:errBars>
            <c:errBarType val="both"/>
            <c:errValType val="cust"/>
            <c:noEndCap val="0"/>
            <c:plus>
              <c:numRef>
                <c:f>Analysis!$AS$91:$AS$97</c:f>
                <c:numCache>
                  <c:formatCode>General</c:formatCode>
                  <c:ptCount val="7"/>
                  <c:pt idx="0">
                    <c:v>120.64659800928781</c:v>
                  </c:pt>
                  <c:pt idx="1">
                    <c:v>32.172287289063206</c:v>
                  </c:pt>
                  <c:pt idx="2">
                    <c:v>163.75847241232768</c:v>
                  </c:pt>
                  <c:pt idx="3">
                    <c:v>283.31606674645843</c:v>
                  </c:pt>
                  <c:pt idx="4">
                    <c:v>184.39684035242993</c:v>
                  </c:pt>
                  <c:pt idx="5">
                    <c:v>173.61703328996202</c:v>
                  </c:pt>
                  <c:pt idx="6">
                    <c:v>115.9791652277208</c:v>
                  </c:pt>
                </c:numCache>
              </c:numRef>
            </c:plus>
            <c:minus>
              <c:numRef>
                <c:f>Analysis!$AS$91:$AS$97</c:f>
                <c:numCache>
                  <c:formatCode>General</c:formatCode>
                  <c:ptCount val="7"/>
                  <c:pt idx="0">
                    <c:v>120.64659800928781</c:v>
                  </c:pt>
                  <c:pt idx="1">
                    <c:v>32.172287289063206</c:v>
                  </c:pt>
                  <c:pt idx="2">
                    <c:v>163.75847241232768</c:v>
                  </c:pt>
                  <c:pt idx="3">
                    <c:v>283.31606674645843</c:v>
                  </c:pt>
                  <c:pt idx="4">
                    <c:v>184.39684035242993</c:v>
                  </c:pt>
                  <c:pt idx="5">
                    <c:v>173.61703328996202</c:v>
                  </c:pt>
                  <c:pt idx="6">
                    <c:v>115.9791652277208</c:v>
                  </c:pt>
                </c:numCache>
              </c:numRef>
            </c:minus>
          </c:errBars>
          <c:cat>
            <c:strRef>
              <c:f>Analysis!$AK$91:$AK$97</c:f>
              <c:strCache>
                <c:ptCount val="7"/>
                <c:pt idx="0">
                  <c:v>NONE</c:v>
                </c:pt>
                <c:pt idx="1">
                  <c:v>DAP</c:v>
                </c:pt>
                <c:pt idx="2">
                  <c:v>MRP-DUST</c:v>
                </c:pt>
                <c:pt idx="3">
                  <c:v>MRP-PALLETS</c:v>
                </c:pt>
                <c:pt idx="4">
                  <c:v>TSP</c:v>
                </c:pt>
                <c:pt idx="5">
                  <c:v>TSP/KCL</c:v>
                </c:pt>
                <c:pt idx="6">
                  <c:v>SYMPAL</c:v>
                </c:pt>
              </c:strCache>
            </c:strRef>
          </c:cat>
          <c:val>
            <c:numRef>
              <c:f>Analysis!$AM$91:$AM$97</c:f>
              <c:numCache>
                <c:formatCode>General</c:formatCode>
                <c:ptCount val="7"/>
                <c:pt idx="0">
                  <c:v>1024.5887607053314</c:v>
                </c:pt>
                <c:pt idx="1">
                  <c:v>1063.1098855152159</c:v>
                </c:pt>
                <c:pt idx="2">
                  <c:v>1498.6998528541144</c:v>
                </c:pt>
                <c:pt idx="3">
                  <c:v>1430.081043086609</c:v>
                </c:pt>
                <c:pt idx="4">
                  <c:v>1141.7106592319979</c:v>
                </c:pt>
                <c:pt idx="5">
                  <c:v>1257.6722744526533</c:v>
                </c:pt>
                <c:pt idx="6">
                  <c:v>1049.744249147092</c:v>
                </c:pt>
              </c:numCache>
            </c:numRef>
          </c:val>
        </c:ser>
        <c:dLbls>
          <c:showLegendKey val="0"/>
          <c:showVal val="0"/>
          <c:showCatName val="0"/>
          <c:showSerName val="0"/>
          <c:showPercent val="0"/>
          <c:showBubbleSize val="0"/>
        </c:dLbls>
        <c:gapWidth val="150"/>
        <c:axId val="180842880"/>
        <c:axId val="180844416"/>
      </c:barChart>
      <c:catAx>
        <c:axId val="180842880"/>
        <c:scaling>
          <c:orientation val="minMax"/>
        </c:scaling>
        <c:delete val="0"/>
        <c:axPos val="b"/>
        <c:numFmt formatCode="General" sourceLinked="1"/>
        <c:majorTickMark val="out"/>
        <c:minorTickMark val="none"/>
        <c:tickLblPos val="nextTo"/>
        <c:crossAx val="180844416"/>
        <c:crosses val="autoZero"/>
        <c:auto val="1"/>
        <c:lblAlgn val="ctr"/>
        <c:lblOffset val="100"/>
        <c:noMultiLvlLbl val="0"/>
      </c:catAx>
      <c:valAx>
        <c:axId val="180844416"/>
        <c:scaling>
          <c:orientation val="minMax"/>
        </c:scaling>
        <c:delete val="0"/>
        <c:axPos val="l"/>
        <c:title>
          <c:tx>
            <c:rich>
              <a:bodyPr rot="-5400000" vert="horz"/>
              <a:lstStyle/>
              <a:p>
                <a:pPr>
                  <a:defRPr/>
                </a:pPr>
                <a:r>
                  <a:rPr lang="en-US"/>
                  <a:t>Soybean stover yield (kg/ha)</a:t>
                </a:r>
              </a:p>
            </c:rich>
          </c:tx>
          <c:overlay val="0"/>
        </c:title>
        <c:numFmt formatCode="General" sourceLinked="1"/>
        <c:majorTickMark val="out"/>
        <c:minorTickMark val="none"/>
        <c:tickLblPos val="nextTo"/>
        <c:crossAx val="180842880"/>
        <c:crosses val="autoZero"/>
        <c:crossBetween val="between"/>
        <c:majorUnit val="500"/>
      </c:valAx>
    </c:plotArea>
    <c:legend>
      <c:legendPos val="tr"/>
      <c:layout>
        <c:manualLayout>
          <c:xMode val="edge"/>
          <c:yMode val="edge"/>
          <c:x val="0.77857020997375326"/>
          <c:y val="0"/>
          <c:w val="0.21309645669291344"/>
          <c:h val="0.16743438320209972"/>
        </c:manualLayout>
      </c:layout>
      <c:overlay val="1"/>
    </c:legend>
    <c:plotVisOnly val="1"/>
    <c:dispBlanksAs val="gap"/>
    <c:showDLblsOverMax val="0"/>
  </c:chart>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Analysis!$V$56</c:f>
              <c:strCache>
                <c:ptCount val="1"/>
                <c:pt idx="0">
                  <c:v> - inoc</c:v>
                </c:pt>
              </c:strCache>
            </c:strRef>
          </c:tx>
          <c:invertIfNegative val="0"/>
          <c:errBars>
            <c:errBarType val="both"/>
            <c:errValType val="cust"/>
            <c:noEndCap val="0"/>
            <c:plus>
              <c:numRef>
                <c:f>Analysis!$AB$57:$AB$68</c:f>
                <c:numCache>
                  <c:formatCode>General</c:formatCode>
                  <c:ptCount val="12"/>
                  <c:pt idx="0">
                    <c:v>1.0631765819676644</c:v>
                  </c:pt>
                  <c:pt idx="1">
                    <c:v>0.61767246528918296</c:v>
                  </c:pt>
                  <c:pt idx="2">
                    <c:v>0.29120739134160406</c:v>
                  </c:pt>
                  <c:pt idx="3">
                    <c:v>0.31917594728042958</c:v>
                  </c:pt>
                  <c:pt idx="4">
                    <c:v>0.65484306856257102</c:v>
                  </c:pt>
                  <c:pt idx="5">
                    <c:v>0.65949276950240521</c:v>
                  </c:pt>
                  <c:pt idx="6">
                    <c:v>0.21461716641665329</c:v>
                  </c:pt>
                  <c:pt idx="7">
                    <c:v>0.47133085807931019</c:v>
                  </c:pt>
                  <c:pt idx="8">
                    <c:v>0.5416666666666663</c:v>
                  </c:pt>
                  <c:pt idx="9">
                    <c:v>0.1033454019724399</c:v>
                  </c:pt>
                  <c:pt idx="10">
                    <c:v>0.12397221707788206</c:v>
                  </c:pt>
                  <c:pt idx="11">
                    <c:v>0.46753458999794201</c:v>
                  </c:pt>
                </c:numCache>
              </c:numRef>
            </c:plus>
            <c:minus>
              <c:numRef>
                <c:f>Analysis!$AB$57:$AB$68</c:f>
                <c:numCache>
                  <c:formatCode>General</c:formatCode>
                  <c:ptCount val="12"/>
                  <c:pt idx="0">
                    <c:v>1.0631765819676644</c:v>
                  </c:pt>
                  <c:pt idx="1">
                    <c:v>0.61767246528918296</c:v>
                  </c:pt>
                  <c:pt idx="2">
                    <c:v>0.29120739134160406</c:v>
                  </c:pt>
                  <c:pt idx="3">
                    <c:v>0.31917594728042958</c:v>
                  </c:pt>
                  <c:pt idx="4">
                    <c:v>0.65484306856257102</c:v>
                  </c:pt>
                  <c:pt idx="5">
                    <c:v>0.65949276950240521</c:v>
                  </c:pt>
                  <c:pt idx="6">
                    <c:v>0.21461716641665329</c:v>
                  </c:pt>
                  <c:pt idx="7">
                    <c:v>0.47133085807931019</c:v>
                  </c:pt>
                  <c:pt idx="8">
                    <c:v>0.5416666666666663</c:v>
                  </c:pt>
                  <c:pt idx="9">
                    <c:v>0.1033454019724399</c:v>
                  </c:pt>
                  <c:pt idx="10">
                    <c:v>0.12397221707788206</c:v>
                  </c:pt>
                  <c:pt idx="11">
                    <c:v>0.46753458999794201</c:v>
                  </c:pt>
                </c:numCache>
              </c:numRef>
            </c:minus>
          </c:errBars>
          <c:cat>
            <c:strRef>
              <c:f>Analysis!$U$57:$U$68</c:f>
              <c:strCache>
                <c:ptCount val="12"/>
                <c:pt idx="0">
                  <c:v>Gasirida</c:v>
                </c:pt>
                <c:pt idx="1">
                  <c:v>Kenya Mavuno</c:v>
                </c:pt>
                <c:pt idx="2">
                  <c:v>MAC 44</c:v>
                </c:pt>
                <c:pt idx="3">
                  <c:v>MAC 49</c:v>
                </c:pt>
                <c:pt idx="4">
                  <c:v>MAC 9</c:v>
                </c:pt>
                <c:pt idx="5">
                  <c:v>Mamesa</c:v>
                </c:pt>
                <c:pt idx="6">
                  <c:v>RWV 1129</c:v>
                </c:pt>
                <c:pt idx="7">
                  <c:v>RWV 2070</c:v>
                </c:pt>
                <c:pt idx="8">
                  <c:v>RWV 51348</c:v>
                </c:pt>
                <c:pt idx="9">
                  <c:v>Umubano</c:v>
                </c:pt>
                <c:pt idx="10">
                  <c:v>Kenya Tamu</c:v>
                </c:pt>
                <c:pt idx="11">
                  <c:v>Kenya Tamu + urea</c:v>
                </c:pt>
              </c:strCache>
            </c:strRef>
          </c:cat>
          <c:val>
            <c:numRef>
              <c:f>Analysis!$V$57:$V$68</c:f>
              <c:numCache>
                <c:formatCode>General</c:formatCode>
                <c:ptCount val="12"/>
                <c:pt idx="0">
                  <c:v>3.5533333333333332</c:v>
                </c:pt>
                <c:pt idx="1">
                  <c:v>3.6904761904761902</c:v>
                </c:pt>
                <c:pt idx="2">
                  <c:v>3.7003968253968256</c:v>
                </c:pt>
                <c:pt idx="3">
                  <c:v>2.8287037037037037</c:v>
                </c:pt>
                <c:pt idx="4">
                  <c:v>3.2916666666666665</c:v>
                </c:pt>
                <c:pt idx="5">
                  <c:v>3.4253968253968252</c:v>
                </c:pt>
                <c:pt idx="6">
                  <c:v>3.5231481481481484</c:v>
                </c:pt>
                <c:pt idx="7">
                  <c:v>3.1083333333333329</c:v>
                </c:pt>
                <c:pt idx="8">
                  <c:v>3.9583333333333335</c:v>
                </c:pt>
                <c:pt idx="9">
                  <c:v>3.6857142857142855</c:v>
                </c:pt>
                <c:pt idx="10">
                  <c:v>4.6507936507936511</c:v>
                </c:pt>
                <c:pt idx="11">
                  <c:v>4.3075396825396828</c:v>
                </c:pt>
              </c:numCache>
            </c:numRef>
          </c:val>
        </c:ser>
        <c:ser>
          <c:idx val="1"/>
          <c:order val="1"/>
          <c:tx>
            <c:strRef>
              <c:f>Analysis!$W$56</c:f>
              <c:strCache>
                <c:ptCount val="1"/>
                <c:pt idx="0">
                  <c:v> + inoc</c:v>
                </c:pt>
              </c:strCache>
            </c:strRef>
          </c:tx>
          <c:invertIfNegative val="0"/>
          <c:errBars>
            <c:errBarType val="both"/>
            <c:errValType val="cust"/>
            <c:noEndCap val="0"/>
            <c:plus>
              <c:numRef>
                <c:f>Analysis!$AC$57:$AC$68</c:f>
                <c:numCache>
                  <c:formatCode>General</c:formatCode>
                  <c:ptCount val="12"/>
                  <c:pt idx="0">
                    <c:v>0.9313998437482367</c:v>
                  </c:pt>
                  <c:pt idx="1">
                    <c:v>0.22737091032979742</c:v>
                  </c:pt>
                  <c:pt idx="2">
                    <c:v>0.14093951035189417</c:v>
                  </c:pt>
                  <c:pt idx="3">
                    <c:v>0.76190476190476231</c:v>
                  </c:pt>
                  <c:pt idx="4">
                    <c:v>0.64145017993086051</c:v>
                  </c:pt>
                  <c:pt idx="5">
                    <c:v>0.66017674401127802</c:v>
                  </c:pt>
                  <c:pt idx="6">
                    <c:v>1.0251587831527531</c:v>
                  </c:pt>
                  <c:pt idx="7">
                    <c:v>0.14698618394803087</c:v>
                  </c:pt>
                  <c:pt idx="8">
                    <c:v>1.1473207723424723</c:v>
                  </c:pt>
                  <c:pt idx="9">
                    <c:v>0.2027587510099419</c:v>
                  </c:pt>
                  <c:pt idx="10">
                    <c:v>1.4404761904761905</c:v>
                  </c:pt>
                </c:numCache>
              </c:numRef>
            </c:plus>
            <c:minus>
              <c:numRef>
                <c:f>Analysis!$AC$57:$AC$68</c:f>
                <c:numCache>
                  <c:formatCode>General</c:formatCode>
                  <c:ptCount val="12"/>
                  <c:pt idx="0">
                    <c:v>0.9313998437482367</c:v>
                  </c:pt>
                  <c:pt idx="1">
                    <c:v>0.22737091032979742</c:v>
                  </c:pt>
                  <c:pt idx="2">
                    <c:v>0.14093951035189417</c:v>
                  </c:pt>
                  <c:pt idx="3">
                    <c:v>0.76190476190476231</c:v>
                  </c:pt>
                  <c:pt idx="4">
                    <c:v>0.64145017993086051</c:v>
                  </c:pt>
                  <c:pt idx="5">
                    <c:v>0.66017674401127802</c:v>
                  </c:pt>
                  <c:pt idx="6">
                    <c:v>1.0251587831527531</c:v>
                  </c:pt>
                  <c:pt idx="7">
                    <c:v>0.14698618394803087</c:v>
                  </c:pt>
                  <c:pt idx="8">
                    <c:v>1.1473207723424723</c:v>
                  </c:pt>
                  <c:pt idx="9">
                    <c:v>0.2027587510099419</c:v>
                  </c:pt>
                  <c:pt idx="10">
                    <c:v>1.4404761904761905</c:v>
                  </c:pt>
                </c:numCache>
              </c:numRef>
            </c:minus>
          </c:errBars>
          <c:cat>
            <c:strRef>
              <c:f>Analysis!$U$57:$U$68</c:f>
              <c:strCache>
                <c:ptCount val="12"/>
                <c:pt idx="0">
                  <c:v>Gasirida</c:v>
                </c:pt>
                <c:pt idx="1">
                  <c:v>Kenya Mavuno</c:v>
                </c:pt>
                <c:pt idx="2">
                  <c:v>MAC 44</c:v>
                </c:pt>
                <c:pt idx="3">
                  <c:v>MAC 49</c:v>
                </c:pt>
                <c:pt idx="4">
                  <c:v>MAC 9</c:v>
                </c:pt>
                <c:pt idx="5">
                  <c:v>Mamesa</c:v>
                </c:pt>
                <c:pt idx="6">
                  <c:v>RWV 1129</c:v>
                </c:pt>
                <c:pt idx="7">
                  <c:v>RWV 2070</c:v>
                </c:pt>
                <c:pt idx="8">
                  <c:v>RWV 51348</c:v>
                </c:pt>
                <c:pt idx="9">
                  <c:v>Umubano</c:v>
                </c:pt>
                <c:pt idx="10">
                  <c:v>Kenya Tamu</c:v>
                </c:pt>
                <c:pt idx="11">
                  <c:v>Kenya Tamu + urea</c:v>
                </c:pt>
              </c:strCache>
            </c:strRef>
          </c:cat>
          <c:val>
            <c:numRef>
              <c:f>Analysis!$W$57:$W$68</c:f>
              <c:numCache>
                <c:formatCode>General</c:formatCode>
                <c:ptCount val="12"/>
                <c:pt idx="0">
                  <c:v>3.2190476190476196</c:v>
                </c:pt>
                <c:pt idx="1">
                  <c:v>4.6944444444444438</c:v>
                </c:pt>
                <c:pt idx="2">
                  <c:v>2.9714285714285715</c:v>
                </c:pt>
                <c:pt idx="3">
                  <c:v>3.9523809523809526</c:v>
                </c:pt>
                <c:pt idx="4">
                  <c:v>2.875</c:v>
                </c:pt>
                <c:pt idx="5">
                  <c:v>3.5500000000000003</c:v>
                </c:pt>
                <c:pt idx="6">
                  <c:v>2.3938492063492061</c:v>
                </c:pt>
                <c:pt idx="7">
                  <c:v>3.2777777777777781</c:v>
                </c:pt>
                <c:pt idx="8">
                  <c:v>3.3059523809523803</c:v>
                </c:pt>
                <c:pt idx="9">
                  <c:v>3.8666666666666667</c:v>
                </c:pt>
                <c:pt idx="10">
                  <c:v>3.5595238095238098</c:v>
                </c:pt>
              </c:numCache>
            </c:numRef>
          </c:val>
        </c:ser>
        <c:dLbls>
          <c:showLegendKey val="0"/>
          <c:showVal val="0"/>
          <c:showCatName val="0"/>
          <c:showSerName val="0"/>
          <c:showPercent val="0"/>
          <c:showBubbleSize val="0"/>
        </c:dLbls>
        <c:gapWidth val="150"/>
        <c:axId val="180862336"/>
        <c:axId val="180868224"/>
      </c:barChart>
      <c:catAx>
        <c:axId val="180862336"/>
        <c:scaling>
          <c:orientation val="minMax"/>
        </c:scaling>
        <c:delete val="0"/>
        <c:axPos val="b"/>
        <c:majorTickMark val="out"/>
        <c:minorTickMark val="none"/>
        <c:tickLblPos val="nextTo"/>
        <c:crossAx val="180868224"/>
        <c:crosses val="autoZero"/>
        <c:auto val="1"/>
        <c:lblAlgn val="ctr"/>
        <c:lblOffset val="100"/>
        <c:noMultiLvlLbl val="0"/>
      </c:catAx>
      <c:valAx>
        <c:axId val="180868224"/>
        <c:scaling>
          <c:orientation val="minMax"/>
          <c:min val="0"/>
        </c:scaling>
        <c:delete val="0"/>
        <c:axPos val="l"/>
        <c:title>
          <c:tx>
            <c:rich>
              <a:bodyPr rot="-5400000" vert="horz"/>
              <a:lstStyle/>
              <a:p>
                <a:pPr>
                  <a:defRPr/>
                </a:pPr>
                <a:r>
                  <a:rPr lang="en-US"/>
                  <a:t>Climbing bean average nodule</a:t>
                </a:r>
                <a:r>
                  <a:rPr lang="en-US" baseline="0"/>
                  <a:t> score</a:t>
                </a:r>
                <a:endParaRPr lang="en-US"/>
              </a:p>
            </c:rich>
          </c:tx>
          <c:overlay val="0"/>
        </c:title>
        <c:numFmt formatCode="General" sourceLinked="1"/>
        <c:majorTickMark val="out"/>
        <c:minorTickMark val="none"/>
        <c:tickLblPos val="nextTo"/>
        <c:crossAx val="180862336"/>
        <c:crosses val="autoZero"/>
        <c:crossBetween val="between"/>
        <c:majorUnit val="1"/>
      </c:valAx>
    </c:plotArea>
    <c:legend>
      <c:legendPos val="tr"/>
      <c:layout>
        <c:manualLayout>
          <c:xMode val="edge"/>
          <c:yMode val="edge"/>
          <c:x val="0.76516776027996503"/>
          <c:y val="4.6296296296296294E-3"/>
          <c:w val="0.22649890638670164"/>
          <c:h val="8.8730679498396026E-2"/>
        </c:manualLayout>
      </c:layout>
      <c:overlay val="1"/>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analysis!$AJ$51</c:f>
              <c:strCache>
                <c:ptCount val="1"/>
                <c:pt idx="0">
                  <c:v> - inoc / - lime</c:v>
                </c:pt>
              </c:strCache>
            </c:strRef>
          </c:tx>
          <c:invertIfNegative val="0"/>
          <c:errBars>
            <c:errBarType val="both"/>
            <c:errValType val="cust"/>
            <c:noEndCap val="0"/>
            <c:plus>
              <c:numRef>
                <c:f>analysis!$AP$52:$AP$58</c:f>
                <c:numCache>
                  <c:formatCode>General</c:formatCode>
                  <c:ptCount val="7"/>
                  <c:pt idx="0">
                    <c:v>0.3273537747256956</c:v>
                  </c:pt>
                  <c:pt idx="1">
                    <c:v>0.19999999999999937</c:v>
                  </c:pt>
                  <c:pt idx="2">
                    <c:v>0.35276684147527865</c:v>
                  </c:pt>
                  <c:pt idx="3">
                    <c:v>0.34924963656670471</c:v>
                  </c:pt>
                  <c:pt idx="4">
                    <c:v>0.11547005383792906</c:v>
                  </c:pt>
                  <c:pt idx="5">
                    <c:v>0.26666666666666644</c:v>
                  </c:pt>
                  <c:pt idx="6">
                    <c:v>0.33333333333333365</c:v>
                  </c:pt>
                </c:numCache>
              </c:numRef>
            </c:plus>
            <c:minus>
              <c:numRef>
                <c:f>analysis!$AP$52:$AP$58</c:f>
                <c:numCache>
                  <c:formatCode>General</c:formatCode>
                  <c:ptCount val="7"/>
                  <c:pt idx="0">
                    <c:v>0.3273537747256956</c:v>
                  </c:pt>
                  <c:pt idx="1">
                    <c:v>0.19999999999999937</c:v>
                  </c:pt>
                  <c:pt idx="2">
                    <c:v>0.35276684147527865</c:v>
                  </c:pt>
                  <c:pt idx="3">
                    <c:v>0.34924963656670471</c:v>
                  </c:pt>
                  <c:pt idx="4">
                    <c:v>0.11547005383792906</c:v>
                  </c:pt>
                  <c:pt idx="5">
                    <c:v>0.26666666666666644</c:v>
                  </c:pt>
                  <c:pt idx="6">
                    <c:v>0.33333333333333365</c:v>
                  </c:pt>
                </c:numCache>
              </c:numRef>
            </c:minus>
          </c:errBars>
          <c:cat>
            <c:strRef>
              <c:f>analysis!$AI$52:$AI$58</c:f>
              <c:strCache>
                <c:ptCount val="7"/>
                <c:pt idx="0">
                  <c:v>NONE</c:v>
                </c:pt>
                <c:pt idx="1">
                  <c:v>DAP</c:v>
                </c:pt>
                <c:pt idx="2">
                  <c:v>MRP-DUST</c:v>
                </c:pt>
                <c:pt idx="3">
                  <c:v>MRP-PALLETS</c:v>
                </c:pt>
                <c:pt idx="4">
                  <c:v>TSP</c:v>
                </c:pt>
                <c:pt idx="5">
                  <c:v>TSP/KCL</c:v>
                </c:pt>
                <c:pt idx="6">
                  <c:v>SYMPAL</c:v>
                </c:pt>
              </c:strCache>
            </c:strRef>
          </c:cat>
          <c:val>
            <c:numRef>
              <c:f>analysis!$AJ$52:$AJ$58</c:f>
              <c:numCache>
                <c:formatCode>General</c:formatCode>
                <c:ptCount val="7"/>
                <c:pt idx="0">
                  <c:v>1.9777777777777776</c:v>
                </c:pt>
                <c:pt idx="1">
                  <c:v>2.8000000000000003</c:v>
                </c:pt>
                <c:pt idx="2">
                  <c:v>2.5333333333333332</c:v>
                </c:pt>
                <c:pt idx="3">
                  <c:v>2.2444444444444445</c:v>
                </c:pt>
                <c:pt idx="4">
                  <c:v>2.4</c:v>
                </c:pt>
                <c:pt idx="5">
                  <c:v>2.4666666666666668</c:v>
                </c:pt>
                <c:pt idx="6">
                  <c:v>2.3333333333333335</c:v>
                </c:pt>
              </c:numCache>
            </c:numRef>
          </c:val>
        </c:ser>
        <c:ser>
          <c:idx val="1"/>
          <c:order val="1"/>
          <c:tx>
            <c:strRef>
              <c:f>analysis!$AK$51</c:f>
              <c:strCache>
                <c:ptCount val="1"/>
                <c:pt idx="0">
                  <c:v> + inoc / + lime</c:v>
                </c:pt>
              </c:strCache>
            </c:strRef>
          </c:tx>
          <c:invertIfNegative val="0"/>
          <c:errBars>
            <c:errBarType val="both"/>
            <c:errValType val="cust"/>
            <c:noEndCap val="0"/>
            <c:plus>
              <c:numRef>
                <c:f>analysis!$AQ$52:$AQ$58</c:f>
                <c:numCache>
                  <c:formatCode>General</c:formatCode>
                  <c:ptCount val="7"/>
                  <c:pt idx="0">
                    <c:v>0.17638342073764143</c:v>
                  </c:pt>
                  <c:pt idx="1">
                    <c:v>0.74999999999999989</c:v>
                  </c:pt>
                  <c:pt idx="2">
                    <c:v>0.17638342073763974</c:v>
                  </c:pt>
                  <c:pt idx="3">
                    <c:v>0.18559214542766597</c:v>
                  </c:pt>
                  <c:pt idx="4">
                    <c:v>0.24037008503093174</c:v>
                  </c:pt>
                  <c:pt idx="5">
                    <c:v>0.23094010767585044</c:v>
                  </c:pt>
                  <c:pt idx="6">
                    <c:v>8.819171036881987E-2</c:v>
                  </c:pt>
                </c:numCache>
              </c:numRef>
            </c:plus>
            <c:minus>
              <c:numRef>
                <c:f>analysis!$AQ$52:$AQ$58</c:f>
                <c:numCache>
                  <c:formatCode>General</c:formatCode>
                  <c:ptCount val="7"/>
                  <c:pt idx="0">
                    <c:v>0.17638342073764143</c:v>
                  </c:pt>
                  <c:pt idx="1">
                    <c:v>0.74999999999999989</c:v>
                  </c:pt>
                  <c:pt idx="2">
                    <c:v>0.17638342073763974</c:v>
                  </c:pt>
                  <c:pt idx="3">
                    <c:v>0.18559214542766597</c:v>
                  </c:pt>
                  <c:pt idx="4">
                    <c:v>0.24037008503093174</c:v>
                  </c:pt>
                  <c:pt idx="5">
                    <c:v>0.23094010767585044</c:v>
                  </c:pt>
                  <c:pt idx="6">
                    <c:v>8.819171036881987E-2</c:v>
                  </c:pt>
                </c:numCache>
              </c:numRef>
            </c:minus>
          </c:errBars>
          <c:cat>
            <c:strRef>
              <c:f>analysis!$AI$52:$AI$58</c:f>
              <c:strCache>
                <c:ptCount val="7"/>
                <c:pt idx="0">
                  <c:v>NONE</c:v>
                </c:pt>
                <c:pt idx="1">
                  <c:v>DAP</c:v>
                </c:pt>
                <c:pt idx="2">
                  <c:v>MRP-DUST</c:v>
                </c:pt>
                <c:pt idx="3">
                  <c:v>MRP-PALLETS</c:v>
                </c:pt>
                <c:pt idx="4">
                  <c:v>TSP</c:v>
                </c:pt>
                <c:pt idx="5">
                  <c:v>TSP/KCL</c:v>
                </c:pt>
                <c:pt idx="6">
                  <c:v>SYMPAL</c:v>
                </c:pt>
              </c:strCache>
            </c:strRef>
          </c:cat>
          <c:val>
            <c:numRef>
              <c:f>analysis!$AK$52:$AK$58</c:f>
              <c:numCache>
                <c:formatCode>General</c:formatCode>
                <c:ptCount val="7"/>
                <c:pt idx="0">
                  <c:v>2.6666666666666665</c:v>
                </c:pt>
                <c:pt idx="1">
                  <c:v>2.75</c:v>
                </c:pt>
                <c:pt idx="2">
                  <c:v>2.6666666666666665</c:v>
                </c:pt>
                <c:pt idx="3">
                  <c:v>2.6333333333333333</c:v>
                </c:pt>
                <c:pt idx="4">
                  <c:v>3.1333333333333333</c:v>
                </c:pt>
                <c:pt idx="5">
                  <c:v>3</c:v>
                </c:pt>
                <c:pt idx="6">
                  <c:v>2.6333333333333333</c:v>
                </c:pt>
              </c:numCache>
            </c:numRef>
          </c:val>
        </c:ser>
        <c:dLbls>
          <c:showLegendKey val="0"/>
          <c:showVal val="0"/>
          <c:showCatName val="0"/>
          <c:showSerName val="0"/>
          <c:showPercent val="0"/>
          <c:showBubbleSize val="0"/>
        </c:dLbls>
        <c:gapWidth val="150"/>
        <c:axId val="177828992"/>
        <c:axId val="177830528"/>
      </c:barChart>
      <c:catAx>
        <c:axId val="177828992"/>
        <c:scaling>
          <c:orientation val="minMax"/>
        </c:scaling>
        <c:delete val="0"/>
        <c:axPos val="b"/>
        <c:numFmt formatCode="General" sourceLinked="1"/>
        <c:majorTickMark val="out"/>
        <c:minorTickMark val="none"/>
        <c:tickLblPos val="nextTo"/>
        <c:crossAx val="177830528"/>
        <c:crosses val="autoZero"/>
        <c:auto val="1"/>
        <c:lblAlgn val="ctr"/>
        <c:lblOffset val="100"/>
        <c:noMultiLvlLbl val="0"/>
      </c:catAx>
      <c:valAx>
        <c:axId val="177830528"/>
        <c:scaling>
          <c:orientation val="minMax"/>
          <c:min val="0"/>
        </c:scaling>
        <c:delete val="0"/>
        <c:axPos val="l"/>
        <c:title>
          <c:tx>
            <c:rich>
              <a:bodyPr rot="-5400000" vert="horz"/>
              <a:lstStyle/>
              <a:p>
                <a:pPr>
                  <a:defRPr/>
                </a:pPr>
                <a:r>
                  <a:rPr lang="en-US"/>
                  <a:t>Climbing bean nodule score</a:t>
                </a:r>
              </a:p>
            </c:rich>
          </c:tx>
          <c:overlay val="0"/>
        </c:title>
        <c:numFmt formatCode="General" sourceLinked="1"/>
        <c:majorTickMark val="out"/>
        <c:minorTickMark val="none"/>
        <c:tickLblPos val="nextTo"/>
        <c:crossAx val="177828992"/>
        <c:crosses val="autoZero"/>
        <c:crossBetween val="between"/>
        <c:majorUnit val="1"/>
      </c:valAx>
    </c:plotArea>
    <c:legend>
      <c:legendPos val="tr"/>
      <c:layout>
        <c:manualLayout>
          <c:xMode val="edge"/>
          <c:yMode val="edge"/>
          <c:x val="0.78690354330708656"/>
          <c:y val="0"/>
          <c:w val="0.21309645669291344"/>
          <c:h val="0.16743438320209972"/>
        </c:manualLayout>
      </c:layout>
      <c:overlay val="1"/>
    </c:legend>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Analysis!$V$21</c:f>
              <c:strCache>
                <c:ptCount val="1"/>
                <c:pt idx="0">
                  <c:v> - inoc</c:v>
                </c:pt>
              </c:strCache>
            </c:strRef>
          </c:tx>
          <c:invertIfNegative val="0"/>
          <c:errBars>
            <c:errBarType val="both"/>
            <c:errValType val="cust"/>
            <c:noEndCap val="0"/>
            <c:plus>
              <c:numRef>
                <c:f>Analysis!$AB$22:$AB$33</c:f>
                <c:numCache>
                  <c:formatCode>General</c:formatCode>
                  <c:ptCount val="12"/>
                  <c:pt idx="0">
                    <c:v>110.41855546855966</c:v>
                  </c:pt>
                  <c:pt idx="1">
                    <c:v>191.80581523864296</c:v>
                  </c:pt>
                  <c:pt idx="2">
                    <c:v>223.96220109533479</c:v>
                  </c:pt>
                  <c:pt idx="3">
                    <c:v>345.40493810978961</c:v>
                  </c:pt>
                  <c:pt idx="4">
                    <c:v>85.852103172936978</c:v>
                  </c:pt>
                  <c:pt idx="5">
                    <c:v>169.64310505708994</c:v>
                  </c:pt>
                  <c:pt idx="6">
                    <c:v>297.35854679745404</c:v>
                  </c:pt>
                  <c:pt idx="7">
                    <c:v>183.37554186363349</c:v>
                  </c:pt>
                  <c:pt idx="8">
                    <c:v>811.42985072854128</c:v>
                  </c:pt>
                  <c:pt idx="9">
                    <c:v>691.93091366325541</c:v>
                  </c:pt>
                  <c:pt idx="10">
                    <c:v>236.03058581431031</c:v>
                  </c:pt>
                  <c:pt idx="11">
                    <c:v>750.78932155834593</c:v>
                  </c:pt>
                </c:numCache>
              </c:numRef>
            </c:plus>
            <c:minus>
              <c:numRef>
                <c:f>Analysis!$AB$22:$AB$33</c:f>
                <c:numCache>
                  <c:formatCode>General</c:formatCode>
                  <c:ptCount val="12"/>
                  <c:pt idx="0">
                    <c:v>110.41855546855966</c:v>
                  </c:pt>
                  <c:pt idx="1">
                    <c:v>191.80581523864296</c:v>
                  </c:pt>
                  <c:pt idx="2">
                    <c:v>223.96220109533479</c:v>
                  </c:pt>
                  <c:pt idx="3">
                    <c:v>345.40493810978961</c:v>
                  </c:pt>
                  <c:pt idx="4">
                    <c:v>85.852103172936978</c:v>
                  </c:pt>
                  <c:pt idx="5">
                    <c:v>169.64310505708994</c:v>
                  </c:pt>
                  <c:pt idx="6">
                    <c:v>297.35854679745404</c:v>
                  </c:pt>
                  <c:pt idx="7">
                    <c:v>183.37554186363349</c:v>
                  </c:pt>
                  <c:pt idx="8">
                    <c:v>811.42985072854128</c:v>
                  </c:pt>
                  <c:pt idx="9">
                    <c:v>691.93091366325541</c:v>
                  </c:pt>
                  <c:pt idx="10">
                    <c:v>236.03058581431031</c:v>
                  </c:pt>
                  <c:pt idx="11">
                    <c:v>750.78932155834593</c:v>
                  </c:pt>
                </c:numCache>
              </c:numRef>
            </c:minus>
          </c:errBars>
          <c:cat>
            <c:strRef>
              <c:f>Analysis!$U$22:$U$33</c:f>
              <c:strCache>
                <c:ptCount val="12"/>
                <c:pt idx="0">
                  <c:v>Gasirida</c:v>
                </c:pt>
                <c:pt idx="1">
                  <c:v>Kenya Mavuno</c:v>
                </c:pt>
                <c:pt idx="2">
                  <c:v>MAC 44</c:v>
                </c:pt>
                <c:pt idx="3">
                  <c:v>MAC 49</c:v>
                </c:pt>
                <c:pt idx="4">
                  <c:v>MAC 9</c:v>
                </c:pt>
                <c:pt idx="5">
                  <c:v>Mamesa</c:v>
                </c:pt>
                <c:pt idx="6">
                  <c:v>RWV 1129</c:v>
                </c:pt>
                <c:pt idx="7">
                  <c:v>RWV 2070</c:v>
                </c:pt>
                <c:pt idx="8">
                  <c:v>RWV 51348</c:v>
                </c:pt>
                <c:pt idx="9">
                  <c:v>Umubano</c:v>
                </c:pt>
                <c:pt idx="10">
                  <c:v>Kenya Tamu</c:v>
                </c:pt>
                <c:pt idx="11">
                  <c:v>Kenya Tamu + urea</c:v>
                </c:pt>
              </c:strCache>
            </c:strRef>
          </c:cat>
          <c:val>
            <c:numRef>
              <c:f>Analysis!$V$22:$V$33</c:f>
              <c:numCache>
                <c:formatCode>General</c:formatCode>
                <c:ptCount val="12"/>
                <c:pt idx="0">
                  <c:v>1292.8332321496246</c:v>
                </c:pt>
                <c:pt idx="1">
                  <c:v>2235.7007974264975</c:v>
                </c:pt>
                <c:pt idx="2">
                  <c:v>1658.5284183554625</c:v>
                </c:pt>
                <c:pt idx="3">
                  <c:v>1719.4665684282375</c:v>
                </c:pt>
                <c:pt idx="4">
                  <c:v>1289.9547675934709</c:v>
                </c:pt>
                <c:pt idx="5">
                  <c:v>2705.1429469561826</c:v>
                </c:pt>
                <c:pt idx="6">
                  <c:v>1108.9822532691812</c:v>
                </c:pt>
                <c:pt idx="7">
                  <c:v>1237.1809798692791</c:v>
                </c:pt>
                <c:pt idx="8">
                  <c:v>3859.209697433263</c:v>
                </c:pt>
                <c:pt idx="9">
                  <c:v>3217.0666621034047</c:v>
                </c:pt>
                <c:pt idx="10">
                  <c:v>2525.7689544201876</c:v>
                </c:pt>
                <c:pt idx="11">
                  <c:v>4041.1775290499972</c:v>
                </c:pt>
              </c:numCache>
            </c:numRef>
          </c:val>
        </c:ser>
        <c:ser>
          <c:idx val="1"/>
          <c:order val="1"/>
          <c:tx>
            <c:strRef>
              <c:f>Analysis!$W$21</c:f>
              <c:strCache>
                <c:ptCount val="1"/>
                <c:pt idx="0">
                  <c:v> + inoc</c:v>
                </c:pt>
              </c:strCache>
            </c:strRef>
          </c:tx>
          <c:invertIfNegative val="0"/>
          <c:errBars>
            <c:errBarType val="both"/>
            <c:errValType val="cust"/>
            <c:noEndCap val="0"/>
            <c:plus>
              <c:numRef>
                <c:f>Analysis!$AC$22:$AC$33</c:f>
                <c:numCache>
                  <c:formatCode>General</c:formatCode>
                  <c:ptCount val="12"/>
                  <c:pt idx="0">
                    <c:v>108.22800944711854</c:v>
                  </c:pt>
                  <c:pt idx="1">
                    <c:v>268.29914672761328</c:v>
                  </c:pt>
                  <c:pt idx="2">
                    <c:v>76.342957757566296</c:v>
                  </c:pt>
                  <c:pt idx="3">
                    <c:v>474.29200104531685</c:v>
                  </c:pt>
                  <c:pt idx="4">
                    <c:v>277.56045593896886</c:v>
                  </c:pt>
                  <c:pt idx="5">
                    <c:v>34.959334964163936</c:v>
                  </c:pt>
                  <c:pt idx="6">
                    <c:v>257.38987938784442</c:v>
                  </c:pt>
                  <c:pt idx="7">
                    <c:v>225.31430577838074</c:v>
                  </c:pt>
                  <c:pt idx="8">
                    <c:v>969.56769534621367</c:v>
                  </c:pt>
                  <c:pt idx="9">
                    <c:v>478.31667577803722</c:v>
                  </c:pt>
                  <c:pt idx="10">
                    <c:v>126.41008251364792</c:v>
                  </c:pt>
                </c:numCache>
              </c:numRef>
            </c:plus>
            <c:minus>
              <c:numRef>
                <c:f>Analysis!$AC$22:$AC$33</c:f>
                <c:numCache>
                  <c:formatCode>General</c:formatCode>
                  <c:ptCount val="12"/>
                  <c:pt idx="0">
                    <c:v>108.22800944711854</c:v>
                  </c:pt>
                  <c:pt idx="1">
                    <c:v>268.29914672761328</c:v>
                  </c:pt>
                  <c:pt idx="2">
                    <c:v>76.342957757566296</c:v>
                  </c:pt>
                  <c:pt idx="3">
                    <c:v>474.29200104531685</c:v>
                  </c:pt>
                  <c:pt idx="4">
                    <c:v>277.56045593896886</c:v>
                  </c:pt>
                  <c:pt idx="5">
                    <c:v>34.959334964163936</c:v>
                  </c:pt>
                  <c:pt idx="6">
                    <c:v>257.38987938784442</c:v>
                  </c:pt>
                  <c:pt idx="7">
                    <c:v>225.31430577838074</c:v>
                  </c:pt>
                  <c:pt idx="8">
                    <c:v>969.56769534621367</c:v>
                  </c:pt>
                  <c:pt idx="9">
                    <c:v>478.31667577803722</c:v>
                  </c:pt>
                  <c:pt idx="10">
                    <c:v>126.41008251364792</c:v>
                  </c:pt>
                </c:numCache>
              </c:numRef>
            </c:minus>
          </c:errBars>
          <c:cat>
            <c:strRef>
              <c:f>Analysis!$U$22:$U$33</c:f>
              <c:strCache>
                <c:ptCount val="12"/>
                <c:pt idx="0">
                  <c:v>Gasirida</c:v>
                </c:pt>
                <c:pt idx="1">
                  <c:v>Kenya Mavuno</c:v>
                </c:pt>
                <c:pt idx="2">
                  <c:v>MAC 44</c:v>
                </c:pt>
                <c:pt idx="3">
                  <c:v>MAC 49</c:v>
                </c:pt>
                <c:pt idx="4">
                  <c:v>MAC 9</c:v>
                </c:pt>
                <c:pt idx="5">
                  <c:v>Mamesa</c:v>
                </c:pt>
                <c:pt idx="6">
                  <c:v>RWV 1129</c:v>
                </c:pt>
                <c:pt idx="7">
                  <c:v>RWV 2070</c:v>
                </c:pt>
                <c:pt idx="8">
                  <c:v>RWV 51348</c:v>
                </c:pt>
                <c:pt idx="9">
                  <c:v>Umubano</c:v>
                </c:pt>
                <c:pt idx="10">
                  <c:v>Kenya Tamu</c:v>
                </c:pt>
                <c:pt idx="11">
                  <c:v>Kenya Tamu + urea</c:v>
                </c:pt>
              </c:strCache>
            </c:strRef>
          </c:cat>
          <c:val>
            <c:numRef>
              <c:f>Analysis!$W$22:$W$33</c:f>
              <c:numCache>
                <c:formatCode>General</c:formatCode>
                <c:ptCount val="12"/>
                <c:pt idx="0">
                  <c:v>1260.9909118522501</c:v>
                </c:pt>
                <c:pt idx="1">
                  <c:v>1636.1542784809928</c:v>
                </c:pt>
                <c:pt idx="2">
                  <c:v>1467.3237160380631</c:v>
                </c:pt>
                <c:pt idx="3">
                  <c:v>1739.5939757193057</c:v>
                </c:pt>
                <c:pt idx="4">
                  <c:v>1845.7962185503213</c:v>
                </c:pt>
                <c:pt idx="5">
                  <c:v>2031.2931257941154</c:v>
                </c:pt>
                <c:pt idx="6">
                  <c:v>1157.5614910955974</c:v>
                </c:pt>
                <c:pt idx="7">
                  <c:v>1487.1010380421076</c:v>
                </c:pt>
                <c:pt idx="8">
                  <c:v>3823.4599118356186</c:v>
                </c:pt>
                <c:pt idx="9">
                  <c:v>2478.0530602731069</c:v>
                </c:pt>
                <c:pt idx="10">
                  <c:v>2077.7831626370739</c:v>
                </c:pt>
              </c:numCache>
            </c:numRef>
          </c:val>
        </c:ser>
        <c:dLbls>
          <c:showLegendKey val="0"/>
          <c:showVal val="0"/>
          <c:showCatName val="0"/>
          <c:showSerName val="0"/>
          <c:showPercent val="0"/>
          <c:showBubbleSize val="0"/>
        </c:dLbls>
        <c:gapWidth val="150"/>
        <c:axId val="181283456"/>
        <c:axId val="181313920"/>
      </c:barChart>
      <c:catAx>
        <c:axId val="181283456"/>
        <c:scaling>
          <c:orientation val="minMax"/>
        </c:scaling>
        <c:delete val="0"/>
        <c:axPos val="b"/>
        <c:majorTickMark val="out"/>
        <c:minorTickMark val="none"/>
        <c:tickLblPos val="nextTo"/>
        <c:crossAx val="181313920"/>
        <c:crosses val="autoZero"/>
        <c:auto val="1"/>
        <c:lblAlgn val="ctr"/>
        <c:lblOffset val="100"/>
        <c:noMultiLvlLbl val="0"/>
      </c:catAx>
      <c:valAx>
        <c:axId val="181313920"/>
        <c:scaling>
          <c:orientation val="minMax"/>
        </c:scaling>
        <c:delete val="0"/>
        <c:axPos val="l"/>
        <c:title>
          <c:tx>
            <c:rich>
              <a:bodyPr rot="-5400000" vert="horz"/>
              <a:lstStyle/>
              <a:p>
                <a:pPr>
                  <a:defRPr/>
                </a:pPr>
                <a:r>
                  <a:rPr lang="en-US"/>
                  <a:t>Climbing bean</a:t>
                </a:r>
                <a:r>
                  <a:rPr lang="en-US" baseline="0"/>
                  <a:t> </a:t>
                </a:r>
                <a:r>
                  <a:rPr lang="en-US"/>
                  <a:t>grain yiled (kg/ha)</a:t>
                </a:r>
              </a:p>
            </c:rich>
          </c:tx>
          <c:overlay val="0"/>
        </c:title>
        <c:numFmt formatCode="General" sourceLinked="1"/>
        <c:majorTickMark val="out"/>
        <c:minorTickMark val="none"/>
        <c:tickLblPos val="nextTo"/>
        <c:crossAx val="181283456"/>
        <c:crosses val="autoZero"/>
        <c:crossBetween val="between"/>
      </c:valAx>
    </c:plotArea>
    <c:legend>
      <c:legendPos val="tr"/>
      <c:layout>
        <c:manualLayout>
          <c:xMode val="edge"/>
          <c:yMode val="edge"/>
          <c:x val="0.7762788713910761"/>
          <c:y val="0"/>
          <c:w val="0.21538779527559052"/>
          <c:h val="8.4101049868766389E-2"/>
        </c:manualLayout>
      </c:layout>
      <c:overlay val="1"/>
    </c:legend>
    <c:plotVisOnly val="1"/>
    <c:dispBlanksAs val="gap"/>
    <c:showDLblsOverMax val="0"/>
  </c:chart>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Analysis!$V$36</c:f>
              <c:strCache>
                <c:ptCount val="1"/>
                <c:pt idx="0">
                  <c:v> - inoc</c:v>
                </c:pt>
              </c:strCache>
            </c:strRef>
          </c:tx>
          <c:invertIfNegative val="0"/>
          <c:errBars>
            <c:errBarType val="both"/>
            <c:errValType val="cust"/>
            <c:noEndCap val="0"/>
            <c:plus>
              <c:numRef>
                <c:f>Analysis!$AB$37:$AB$48</c:f>
                <c:numCache>
                  <c:formatCode>General</c:formatCode>
                  <c:ptCount val="12"/>
                  <c:pt idx="0">
                    <c:v>214.6161848820353</c:v>
                  </c:pt>
                  <c:pt idx="1">
                    <c:v>147.37166293341249</c:v>
                  </c:pt>
                  <c:pt idx="2">
                    <c:v>522.31104243862501</c:v>
                  </c:pt>
                  <c:pt idx="3">
                    <c:v>280.31532864780718</c:v>
                  </c:pt>
                  <c:pt idx="4">
                    <c:v>166.70957974047062</c:v>
                  </c:pt>
                  <c:pt idx="5">
                    <c:v>86.853225524801346</c:v>
                  </c:pt>
                  <c:pt idx="6">
                    <c:v>631.72159049664913</c:v>
                  </c:pt>
                  <c:pt idx="7">
                    <c:v>131.87033951053508</c:v>
                  </c:pt>
                  <c:pt idx="8">
                    <c:v>334.5013344854608</c:v>
                  </c:pt>
                  <c:pt idx="9">
                    <c:v>326.1918903491337</c:v>
                  </c:pt>
                  <c:pt idx="10">
                    <c:v>318.80447361285769</c:v>
                  </c:pt>
                  <c:pt idx="11">
                    <c:v>271.74011622666637</c:v>
                  </c:pt>
                </c:numCache>
              </c:numRef>
            </c:plus>
            <c:minus>
              <c:numRef>
                <c:f>Analysis!$AB$37:$AB$48</c:f>
                <c:numCache>
                  <c:formatCode>General</c:formatCode>
                  <c:ptCount val="12"/>
                  <c:pt idx="0">
                    <c:v>214.6161848820353</c:v>
                  </c:pt>
                  <c:pt idx="1">
                    <c:v>147.37166293341249</c:v>
                  </c:pt>
                  <c:pt idx="2">
                    <c:v>522.31104243862501</c:v>
                  </c:pt>
                  <c:pt idx="3">
                    <c:v>280.31532864780718</c:v>
                  </c:pt>
                  <c:pt idx="4">
                    <c:v>166.70957974047062</c:v>
                  </c:pt>
                  <c:pt idx="5">
                    <c:v>86.853225524801346</c:v>
                  </c:pt>
                  <c:pt idx="6">
                    <c:v>631.72159049664913</c:v>
                  </c:pt>
                  <c:pt idx="7">
                    <c:v>131.87033951053508</c:v>
                  </c:pt>
                  <c:pt idx="8">
                    <c:v>334.5013344854608</c:v>
                  </c:pt>
                  <c:pt idx="9">
                    <c:v>326.1918903491337</c:v>
                  </c:pt>
                  <c:pt idx="10">
                    <c:v>318.80447361285769</c:v>
                  </c:pt>
                  <c:pt idx="11">
                    <c:v>271.74011622666637</c:v>
                  </c:pt>
                </c:numCache>
              </c:numRef>
            </c:minus>
          </c:errBars>
          <c:cat>
            <c:strRef>
              <c:f>Analysis!$U$37:$U$48</c:f>
              <c:strCache>
                <c:ptCount val="12"/>
                <c:pt idx="0">
                  <c:v>Gasirida</c:v>
                </c:pt>
                <c:pt idx="1">
                  <c:v>Kenya Mavuno</c:v>
                </c:pt>
                <c:pt idx="2">
                  <c:v>MAC 44</c:v>
                </c:pt>
                <c:pt idx="3">
                  <c:v>MAC 49</c:v>
                </c:pt>
                <c:pt idx="4">
                  <c:v>MAC 9</c:v>
                </c:pt>
                <c:pt idx="5">
                  <c:v>Mamesa</c:v>
                </c:pt>
                <c:pt idx="6">
                  <c:v>RWV 1129</c:v>
                </c:pt>
                <c:pt idx="7">
                  <c:v>RWV 2070</c:v>
                </c:pt>
                <c:pt idx="8">
                  <c:v>RWV 51348</c:v>
                </c:pt>
                <c:pt idx="9">
                  <c:v>Umubano</c:v>
                </c:pt>
                <c:pt idx="10">
                  <c:v>Kenya Tamu</c:v>
                </c:pt>
                <c:pt idx="11">
                  <c:v>Kenya Tamu + urea</c:v>
                </c:pt>
              </c:strCache>
            </c:strRef>
          </c:cat>
          <c:val>
            <c:numRef>
              <c:f>Analysis!$V$37:$V$48</c:f>
              <c:numCache>
                <c:formatCode>General</c:formatCode>
                <c:ptCount val="12"/>
                <c:pt idx="0">
                  <c:v>2173.0010761757676</c:v>
                </c:pt>
                <c:pt idx="1">
                  <c:v>2377.2121707847477</c:v>
                </c:pt>
                <c:pt idx="2">
                  <c:v>2123.071251615313</c:v>
                </c:pt>
                <c:pt idx="3">
                  <c:v>2225.5479612666513</c:v>
                </c:pt>
                <c:pt idx="4">
                  <c:v>1565.2745738461483</c:v>
                </c:pt>
                <c:pt idx="5">
                  <c:v>2307.4214632725907</c:v>
                </c:pt>
                <c:pt idx="6">
                  <c:v>2235.5553973566407</c:v>
                </c:pt>
                <c:pt idx="7">
                  <c:v>2000.6268459160572</c:v>
                </c:pt>
                <c:pt idx="8">
                  <c:v>3360.3390070542168</c:v>
                </c:pt>
                <c:pt idx="9">
                  <c:v>3046.3591446676969</c:v>
                </c:pt>
                <c:pt idx="10">
                  <c:v>2500.3832695791571</c:v>
                </c:pt>
                <c:pt idx="11">
                  <c:v>4231.908445146626</c:v>
                </c:pt>
              </c:numCache>
            </c:numRef>
          </c:val>
        </c:ser>
        <c:ser>
          <c:idx val="1"/>
          <c:order val="1"/>
          <c:tx>
            <c:strRef>
              <c:f>Analysis!$W$36</c:f>
              <c:strCache>
                <c:ptCount val="1"/>
                <c:pt idx="0">
                  <c:v> + inoc</c:v>
                </c:pt>
              </c:strCache>
            </c:strRef>
          </c:tx>
          <c:invertIfNegative val="0"/>
          <c:errBars>
            <c:errBarType val="both"/>
            <c:errValType val="cust"/>
            <c:noEndCap val="0"/>
            <c:plus>
              <c:numRef>
                <c:f>Analysis!$AC$37:$AC$48</c:f>
                <c:numCache>
                  <c:formatCode>General</c:formatCode>
                  <c:ptCount val="12"/>
                  <c:pt idx="0">
                    <c:v>35.447495967251392</c:v>
                  </c:pt>
                  <c:pt idx="1">
                    <c:v>383.26354461721093</c:v>
                  </c:pt>
                  <c:pt idx="2">
                    <c:v>221.36130436780894</c:v>
                  </c:pt>
                  <c:pt idx="3">
                    <c:v>91.271084092686309</c:v>
                  </c:pt>
                  <c:pt idx="4">
                    <c:v>274.15261697063733</c:v>
                  </c:pt>
                  <c:pt idx="5">
                    <c:v>132.39456637093741</c:v>
                  </c:pt>
                  <c:pt idx="6">
                    <c:v>567.22500721837446</c:v>
                  </c:pt>
                  <c:pt idx="7">
                    <c:v>169.41510694928971</c:v>
                  </c:pt>
                  <c:pt idx="8">
                    <c:v>622.11835478843534</c:v>
                  </c:pt>
                  <c:pt idx="9">
                    <c:v>221.55440801323311</c:v>
                  </c:pt>
                  <c:pt idx="10">
                    <c:v>116.76742620113168</c:v>
                  </c:pt>
                </c:numCache>
              </c:numRef>
            </c:plus>
            <c:minus>
              <c:numRef>
                <c:f>Analysis!$AC$37:$AC$48</c:f>
                <c:numCache>
                  <c:formatCode>General</c:formatCode>
                  <c:ptCount val="12"/>
                  <c:pt idx="0">
                    <c:v>35.447495967251392</c:v>
                  </c:pt>
                  <c:pt idx="1">
                    <c:v>383.26354461721093</c:v>
                  </c:pt>
                  <c:pt idx="2">
                    <c:v>221.36130436780894</c:v>
                  </c:pt>
                  <c:pt idx="3">
                    <c:v>91.271084092686309</c:v>
                  </c:pt>
                  <c:pt idx="4">
                    <c:v>274.15261697063733</c:v>
                  </c:pt>
                  <c:pt idx="5">
                    <c:v>132.39456637093741</c:v>
                  </c:pt>
                  <c:pt idx="6">
                    <c:v>567.22500721837446</c:v>
                  </c:pt>
                  <c:pt idx="7">
                    <c:v>169.41510694928971</c:v>
                  </c:pt>
                  <c:pt idx="8">
                    <c:v>622.11835478843534</c:v>
                  </c:pt>
                  <c:pt idx="9">
                    <c:v>221.55440801323311</c:v>
                  </c:pt>
                  <c:pt idx="10">
                    <c:v>116.76742620113168</c:v>
                  </c:pt>
                </c:numCache>
              </c:numRef>
            </c:minus>
          </c:errBars>
          <c:cat>
            <c:strRef>
              <c:f>Analysis!$U$37:$U$48</c:f>
              <c:strCache>
                <c:ptCount val="12"/>
                <c:pt idx="0">
                  <c:v>Gasirida</c:v>
                </c:pt>
                <c:pt idx="1">
                  <c:v>Kenya Mavuno</c:v>
                </c:pt>
                <c:pt idx="2">
                  <c:v>MAC 44</c:v>
                </c:pt>
                <c:pt idx="3">
                  <c:v>MAC 49</c:v>
                </c:pt>
                <c:pt idx="4">
                  <c:v>MAC 9</c:v>
                </c:pt>
                <c:pt idx="5">
                  <c:v>Mamesa</c:v>
                </c:pt>
                <c:pt idx="6">
                  <c:v>RWV 1129</c:v>
                </c:pt>
                <c:pt idx="7">
                  <c:v>RWV 2070</c:v>
                </c:pt>
                <c:pt idx="8">
                  <c:v>RWV 51348</c:v>
                </c:pt>
                <c:pt idx="9">
                  <c:v>Umubano</c:v>
                </c:pt>
                <c:pt idx="10">
                  <c:v>Kenya Tamu</c:v>
                </c:pt>
                <c:pt idx="11">
                  <c:v>Kenya Tamu + urea</c:v>
                </c:pt>
              </c:strCache>
            </c:strRef>
          </c:cat>
          <c:val>
            <c:numRef>
              <c:f>Analysis!$W$37:$W$48</c:f>
              <c:numCache>
                <c:formatCode>General</c:formatCode>
                <c:ptCount val="12"/>
                <c:pt idx="0">
                  <c:v>1948.7785062908879</c:v>
                </c:pt>
                <c:pt idx="1">
                  <c:v>1835.1673009094002</c:v>
                </c:pt>
                <c:pt idx="2">
                  <c:v>2055.1657756115865</c:v>
                </c:pt>
                <c:pt idx="3">
                  <c:v>2109.7371686032216</c:v>
                </c:pt>
                <c:pt idx="4">
                  <c:v>1987.11256587307</c:v>
                </c:pt>
                <c:pt idx="5">
                  <c:v>1576.3838087510396</c:v>
                </c:pt>
                <c:pt idx="6">
                  <c:v>2103.1391253623165</c:v>
                </c:pt>
                <c:pt idx="7">
                  <c:v>2257.8959449123836</c:v>
                </c:pt>
                <c:pt idx="8">
                  <c:v>3193.3882829271806</c:v>
                </c:pt>
                <c:pt idx="9">
                  <c:v>2398.6535085850678</c:v>
                </c:pt>
                <c:pt idx="10">
                  <c:v>2621.4570748839283</c:v>
                </c:pt>
              </c:numCache>
            </c:numRef>
          </c:val>
        </c:ser>
        <c:dLbls>
          <c:showLegendKey val="0"/>
          <c:showVal val="0"/>
          <c:showCatName val="0"/>
          <c:showSerName val="0"/>
          <c:showPercent val="0"/>
          <c:showBubbleSize val="0"/>
        </c:dLbls>
        <c:gapWidth val="150"/>
        <c:axId val="181348224"/>
        <c:axId val="181349760"/>
      </c:barChart>
      <c:catAx>
        <c:axId val="181348224"/>
        <c:scaling>
          <c:orientation val="minMax"/>
        </c:scaling>
        <c:delete val="0"/>
        <c:axPos val="b"/>
        <c:majorTickMark val="out"/>
        <c:minorTickMark val="none"/>
        <c:tickLblPos val="nextTo"/>
        <c:crossAx val="181349760"/>
        <c:crosses val="autoZero"/>
        <c:auto val="1"/>
        <c:lblAlgn val="ctr"/>
        <c:lblOffset val="100"/>
        <c:noMultiLvlLbl val="0"/>
      </c:catAx>
      <c:valAx>
        <c:axId val="181349760"/>
        <c:scaling>
          <c:orientation val="minMax"/>
          <c:max val="5000"/>
        </c:scaling>
        <c:delete val="0"/>
        <c:axPos val="l"/>
        <c:title>
          <c:tx>
            <c:rich>
              <a:bodyPr rot="-5400000" vert="horz"/>
              <a:lstStyle/>
              <a:p>
                <a:pPr>
                  <a:defRPr/>
                </a:pPr>
                <a:r>
                  <a:rPr lang="en-US"/>
                  <a:t>Climbing bean stover yield (kg/ha)</a:t>
                </a:r>
              </a:p>
            </c:rich>
          </c:tx>
          <c:overlay val="0"/>
        </c:title>
        <c:numFmt formatCode="General" sourceLinked="1"/>
        <c:majorTickMark val="out"/>
        <c:minorTickMark val="none"/>
        <c:tickLblPos val="nextTo"/>
        <c:crossAx val="181348224"/>
        <c:crosses val="autoZero"/>
        <c:crossBetween val="between"/>
        <c:majorUnit val="1000"/>
      </c:valAx>
    </c:plotArea>
    <c:legend>
      <c:legendPos val="tr"/>
      <c:layout>
        <c:manualLayout>
          <c:xMode val="edge"/>
          <c:yMode val="edge"/>
          <c:x val="0.76451132826155721"/>
          <c:y val="0"/>
          <c:w val="0.22703201211899252"/>
          <c:h val="9.3360309128025648E-2"/>
        </c:manualLayout>
      </c:layout>
      <c:overlay val="1"/>
    </c:legend>
    <c:plotVisOnly val="1"/>
    <c:dispBlanksAs val="gap"/>
    <c:showDLblsOverMax val="0"/>
  </c:chart>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Analysis!$X$19</c:f>
              <c:strCache>
                <c:ptCount val="1"/>
                <c:pt idx="0">
                  <c:v> - inoc</c:v>
                </c:pt>
              </c:strCache>
            </c:strRef>
          </c:tx>
          <c:invertIfNegative val="0"/>
          <c:errBars>
            <c:errBarType val="both"/>
            <c:errValType val="cust"/>
            <c:noEndCap val="0"/>
            <c:plus>
              <c:numRef>
                <c:f>Analysis!$AD$20:$AD$27</c:f>
                <c:numCache>
                  <c:formatCode>General</c:formatCode>
                  <c:ptCount val="8"/>
                  <c:pt idx="0">
                    <c:v>0.43770057130812268</c:v>
                  </c:pt>
                  <c:pt idx="1">
                    <c:v>0.23790468565327125</c:v>
                  </c:pt>
                  <c:pt idx="2">
                    <c:v>0.42324735320550583</c:v>
                  </c:pt>
                  <c:pt idx="3">
                    <c:v>0.34687624486508234</c:v>
                  </c:pt>
                  <c:pt idx="4">
                    <c:v>0.14529663145135596</c:v>
                  </c:pt>
                  <c:pt idx="5">
                    <c:v>0.27781635534587862</c:v>
                  </c:pt>
                  <c:pt idx="6">
                    <c:v>0.1706695239922851</c:v>
                  </c:pt>
                  <c:pt idx="7">
                    <c:v>0.21817494962065598</c:v>
                  </c:pt>
                </c:numCache>
              </c:numRef>
            </c:plus>
            <c:minus>
              <c:numRef>
                <c:f>Analysis!$AD$20:$AD$27</c:f>
                <c:numCache>
                  <c:formatCode>General</c:formatCode>
                  <c:ptCount val="8"/>
                  <c:pt idx="0">
                    <c:v>0.43770057130812268</c:v>
                  </c:pt>
                  <c:pt idx="1">
                    <c:v>0.23790468565327125</c:v>
                  </c:pt>
                  <c:pt idx="2">
                    <c:v>0.42324735320550583</c:v>
                  </c:pt>
                  <c:pt idx="3">
                    <c:v>0.34687624486508234</c:v>
                  </c:pt>
                  <c:pt idx="4">
                    <c:v>0.14529663145135596</c:v>
                  </c:pt>
                  <c:pt idx="5">
                    <c:v>0.27781635534587862</c:v>
                  </c:pt>
                  <c:pt idx="6">
                    <c:v>0.1706695239922851</c:v>
                  </c:pt>
                  <c:pt idx="7">
                    <c:v>0.21817494962065598</c:v>
                  </c:pt>
                </c:numCache>
              </c:numRef>
            </c:minus>
          </c:errBars>
          <c:cat>
            <c:strRef>
              <c:f>Analysis!$W$20:$W$27</c:f>
              <c:strCache>
                <c:ptCount val="8"/>
                <c:pt idx="0">
                  <c:v>KK071</c:v>
                </c:pt>
                <c:pt idx="1">
                  <c:v>KK072</c:v>
                </c:pt>
                <c:pt idx="2">
                  <c:v>KK15</c:v>
                </c:pt>
                <c:pt idx="3">
                  <c:v>KK8</c:v>
                </c:pt>
                <c:pt idx="4">
                  <c:v>NEWROSCOCO</c:v>
                </c:pt>
                <c:pt idx="5">
                  <c:v>OKWODHO</c:v>
                </c:pt>
                <c:pt idx="6">
                  <c:v>KENYA UMOJA</c:v>
                </c:pt>
                <c:pt idx="7">
                  <c:v>KENYA UMOJA + Urea</c:v>
                </c:pt>
              </c:strCache>
            </c:strRef>
          </c:cat>
          <c:val>
            <c:numRef>
              <c:f>Analysis!$X$20:$X$27</c:f>
              <c:numCache>
                <c:formatCode>General</c:formatCode>
                <c:ptCount val="8"/>
                <c:pt idx="0">
                  <c:v>2.036111111111111</c:v>
                </c:pt>
                <c:pt idx="1">
                  <c:v>2.4571428571428573</c:v>
                </c:pt>
                <c:pt idx="2">
                  <c:v>3.1904761904761902</c:v>
                </c:pt>
                <c:pt idx="3">
                  <c:v>2.535714285714286</c:v>
                </c:pt>
                <c:pt idx="4">
                  <c:v>1.7666666666666666</c:v>
                </c:pt>
                <c:pt idx="5">
                  <c:v>3.1712962962962963</c:v>
                </c:pt>
                <c:pt idx="6">
                  <c:v>3.0694444444444446</c:v>
                </c:pt>
                <c:pt idx="7">
                  <c:v>2.9805555555555556</c:v>
                </c:pt>
              </c:numCache>
            </c:numRef>
          </c:val>
        </c:ser>
        <c:ser>
          <c:idx val="1"/>
          <c:order val="1"/>
          <c:tx>
            <c:strRef>
              <c:f>Analysis!$Y$19</c:f>
              <c:strCache>
                <c:ptCount val="1"/>
                <c:pt idx="0">
                  <c:v> + inoc</c:v>
                </c:pt>
              </c:strCache>
            </c:strRef>
          </c:tx>
          <c:invertIfNegative val="0"/>
          <c:errBars>
            <c:errBarType val="both"/>
            <c:errValType val="cust"/>
            <c:noEndCap val="0"/>
            <c:plus>
              <c:numRef>
                <c:f>Analysis!$AE$20:$AE$27</c:f>
                <c:numCache>
                  <c:formatCode>General</c:formatCode>
                  <c:ptCount val="8"/>
                  <c:pt idx="0">
                    <c:v>9.6551786195210612E-2</c:v>
                  </c:pt>
                  <c:pt idx="1">
                    <c:v>0.13333333333333489</c:v>
                  </c:pt>
                  <c:pt idx="2">
                    <c:v>0.3777300473382178</c:v>
                  </c:pt>
                  <c:pt idx="3">
                    <c:v>0.13492063492063458</c:v>
                  </c:pt>
                  <c:pt idx="4">
                    <c:v>0.36170890690351148</c:v>
                  </c:pt>
                  <c:pt idx="5">
                    <c:v>0.35118845842842511</c:v>
                  </c:pt>
                  <c:pt idx="6">
                    <c:v>0.43087888850126832</c:v>
                  </c:pt>
                </c:numCache>
              </c:numRef>
            </c:plus>
            <c:minus>
              <c:numRef>
                <c:f>Analysis!$AE$20:$AE$27</c:f>
                <c:numCache>
                  <c:formatCode>General</c:formatCode>
                  <c:ptCount val="8"/>
                  <c:pt idx="0">
                    <c:v>9.6551786195210612E-2</c:v>
                  </c:pt>
                  <c:pt idx="1">
                    <c:v>0.13333333333333489</c:v>
                  </c:pt>
                  <c:pt idx="2">
                    <c:v>0.3777300473382178</c:v>
                  </c:pt>
                  <c:pt idx="3">
                    <c:v>0.13492063492063458</c:v>
                  </c:pt>
                  <c:pt idx="4">
                    <c:v>0.36170890690351148</c:v>
                  </c:pt>
                  <c:pt idx="5">
                    <c:v>0.35118845842842511</c:v>
                  </c:pt>
                  <c:pt idx="6">
                    <c:v>0.43087888850126832</c:v>
                  </c:pt>
                </c:numCache>
              </c:numRef>
            </c:minus>
          </c:errBars>
          <c:cat>
            <c:strRef>
              <c:f>Analysis!$W$20:$W$27</c:f>
              <c:strCache>
                <c:ptCount val="8"/>
                <c:pt idx="0">
                  <c:v>KK071</c:v>
                </c:pt>
                <c:pt idx="1">
                  <c:v>KK072</c:v>
                </c:pt>
                <c:pt idx="2">
                  <c:v>KK15</c:v>
                </c:pt>
                <c:pt idx="3">
                  <c:v>KK8</c:v>
                </c:pt>
                <c:pt idx="4">
                  <c:v>NEWROSCOCO</c:v>
                </c:pt>
                <c:pt idx="5">
                  <c:v>OKWODHO</c:v>
                </c:pt>
                <c:pt idx="6">
                  <c:v>KENYA UMOJA</c:v>
                </c:pt>
                <c:pt idx="7">
                  <c:v>KENYA UMOJA + Urea</c:v>
                </c:pt>
              </c:strCache>
            </c:strRef>
          </c:cat>
          <c:val>
            <c:numRef>
              <c:f>Analysis!$Y$20:$Y$27</c:f>
              <c:numCache>
                <c:formatCode>General</c:formatCode>
                <c:ptCount val="8"/>
                <c:pt idx="0">
                  <c:v>1.8412698412698412</c:v>
                </c:pt>
                <c:pt idx="1">
                  <c:v>1.8666666666666665</c:v>
                </c:pt>
                <c:pt idx="2">
                  <c:v>3.8095238095238098</c:v>
                </c:pt>
                <c:pt idx="3">
                  <c:v>1.6984126984126984</c:v>
                </c:pt>
                <c:pt idx="4">
                  <c:v>1.1500000000000001</c:v>
                </c:pt>
                <c:pt idx="5">
                  <c:v>3</c:v>
                </c:pt>
                <c:pt idx="6">
                  <c:v>2.8529100529100528</c:v>
                </c:pt>
              </c:numCache>
            </c:numRef>
          </c:val>
        </c:ser>
        <c:dLbls>
          <c:showLegendKey val="0"/>
          <c:showVal val="0"/>
          <c:showCatName val="0"/>
          <c:showSerName val="0"/>
          <c:showPercent val="0"/>
          <c:showBubbleSize val="0"/>
        </c:dLbls>
        <c:gapWidth val="150"/>
        <c:axId val="181392512"/>
        <c:axId val="181394048"/>
      </c:barChart>
      <c:catAx>
        <c:axId val="181392512"/>
        <c:scaling>
          <c:orientation val="minMax"/>
        </c:scaling>
        <c:delete val="0"/>
        <c:axPos val="b"/>
        <c:majorTickMark val="out"/>
        <c:minorTickMark val="none"/>
        <c:tickLblPos val="nextTo"/>
        <c:crossAx val="181394048"/>
        <c:crosses val="autoZero"/>
        <c:auto val="1"/>
        <c:lblAlgn val="ctr"/>
        <c:lblOffset val="100"/>
        <c:noMultiLvlLbl val="0"/>
      </c:catAx>
      <c:valAx>
        <c:axId val="181394048"/>
        <c:scaling>
          <c:orientation val="minMax"/>
        </c:scaling>
        <c:delete val="0"/>
        <c:axPos val="l"/>
        <c:title>
          <c:tx>
            <c:rich>
              <a:bodyPr rot="-5400000" vert="horz"/>
              <a:lstStyle/>
              <a:p>
                <a:pPr>
                  <a:defRPr/>
                </a:pPr>
                <a:r>
                  <a:rPr lang="en-US"/>
                  <a:t>Bush bean nodule score</a:t>
                </a:r>
              </a:p>
            </c:rich>
          </c:tx>
          <c:overlay val="0"/>
        </c:title>
        <c:numFmt formatCode="General" sourceLinked="1"/>
        <c:majorTickMark val="out"/>
        <c:minorTickMark val="none"/>
        <c:tickLblPos val="nextTo"/>
        <c:crossAx val="181392512"/>
        <c:crosses val="autoZero"/>
        <c:crossBetween val="between"/>
        <c:majorUnit val="1"/>
      </c:valAx>
    </c:plotArea>
    <c:legend>
      <c:legendPos val="tr"/>
      <c:layout>
        <c:manualLayout>
          <c:xMode val="edge"/>
          <c:yMode val="edge"/>
          <c:x val="0.87905664916885384"/>
          <c:y val="0"/>
          <c:w val="0.1209433508311461"/>
          <c:h val="0.16743438320209975"/>
        </c:manualLayout>
      </c:layout>
      <c:overlay val="1"/>
    </c:legend>
    <c:plotVisOnly val="1"/>
    <c:dispBlanksAs val="gap"/>
    <c:showDLblsOverMax val="0"/>
  </c:chart>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Analysis!$X$30</c:f>
              <c:strCache>
                <c:ptCount val="1"/>
                <c:pt idx="0">
                  <c:v> - inoc</c:v>
                </c:pt>
              </c:strCache>
            </c:strRef>
          </c:tx>
          <c:invertIfNegative val="0"/>
          <c:errBars>
            <c:errBarType val="both"/>
            <c:errValType val="cust"/>
            <c:noEndCap val="0"/>
            <c:plus>
              <c:numRef>
                <c:f>Analysis!$AD$31:$AD$38</c:f>
                <c:numCache>
                  <c:formatCode>General</c:formatCode>
                  <c:ptCount val="8"/>
                  <c:pt idx="0">
                    <c:v>43.333273251588992</c:v>
                  </c:pt>
                  <c:pt idx="1">
                    <c:v>146.87601968241898</c:v>
                  </c:pt>
                  <c:pt idx="2">
                    <c:v>117.94950857112049</c:v>
                  </c:pt>
                  <c:pt idx="3">
                    <c:v>24.824333289001</c:v>
                  </c:pt>
                  <c:pt idx="4">
                    <c:v>24.719455157237885</c:v>
                  </c:pt>
                  <c:pt idx="5">
                    <c:v>164.28445768588898</c:v>
                  </c:pt>
                  <c:pt idx="6">
                    <c:v>260.2956357981181</c:v>
                  </c:pt>
                  <c:pt idx="7">
                    <c:v>132.8814932038772</c:v>
                  </c:pt>
                </c:numCache>
              </c:numRef>
            </c:plus>
            <c:minus>
              <c:numRef>
                <c:f>Analysis!$AD$31:$AD$38</c:f>
                <c:numCache>
                  <c:formatCode>General</c:formatCode>
                  <c:ptCount val="8"/>
                  <c:pt idx="0">
                    <c:v>43.333273251588992</c:v>
                  </c:pt>
                  <c:pt idx="1">
                    <c:v>146.87601968241898</c:v>
                  </c:pt>
                  <c:pt idx="2">
                    <c:v>117.94950857112049</c:v>
                  </c:pt>
                  <c:pt idx="3">
                    <c:v>24.824333289001</c:v>
                  </c:pt>
                  <c:pt idx="4">
                    <c:v>24.719455157237885</c:v>
                  </c:pt>
                  <c:pt idx="5">
                    <c:v>164.28445768588898</c:v>
                  </c:pt>
                  <c:pt idx="6">
                    <c:v>260.2956357981181</c:v>
                  </c:pt>
                  <c:pt idx="7">
                    <c:v>132.8814932038772</c:v>
                  </c:pt>
                </c:numCache>
              </c:numRef>
            </c:minus>
          </c:errBars>
          <c:cat>
            <c:strRef>
              <c:f>Analysis!$W$31:$W$38</c:f>
              <c:strCache>
                <c:ptCount val="8"/>
                <c:pt idx="0">
                  <c:v>KK071</c:v>
                </c:pt>
                <c:pt idx="1">
                  <c:v>KK072</c:v>
                </c:pt>
                <c:pt idx="2">
                  <c:v>KK15</c:v>
                </c:pt>
                <c:pt idx="3">
                  <c:v>KK8</c:v>
                </c:pt>
                <c:pt idx="4">
                  <c:v>NEWROSCOCO</c:v>
                </c:pt>
                <c:pt idx="5">
                  <c:v>OKWODHO</c:v>
                </c:pt>
                <c:pt idx="6">
                  <c:v>KENYA UMOJA</c:v>
                </c:pt>
                <c:pt idx="7">
                  <c:v>KENYA UMOJA + Urea</c:v>
                </c:pt>
              </c:strCache>
            </c:strRef>
          </c:cat>
          <c:val>
            <c:numRef>
              <c:f>Analysis!$X$31:$X$38</c:f>
              <c:numCache>
                <c:formatCode>General</c:formatCode>
                <c:ptCount val="8"/>
                <c:pt idx="0">
                  <c:v>257.50412833215381</c:v>
                </c:pt>
                <c:pt idx="1">
                  <c:v>360</c:v>
                </c:pt>
                <c:pt idx="2">
                  <c:v>779.753086419753</c:v>
                </c:pt>
                <c:pt idx="3">
                  <c:v>236.79012345679016</c:v>
                </c:pt>
                <c:pt idx="4">
                  <c:v>100.08714596949891</c:v>
                </c:pt>
                <c:pt idx="5">
                  <c:v>1377.7938010984662</c:v>
                </c:pt>
                <c:pt idx="6">
                  <c:v>965.18518518518488</c:v>
                </c:pt>
                <c:pt idx="7">
                  <c:v>1598.2716049382716</c:v>
                </c:pt>
              </c:numCache>
            </c:numRef>
          </c:val>
        </c:ser>
        <c:ser>
          <c:idx val="1"/>
          <c:order val="1"/>
          <c:tx>
            <c:strRef>
              <c:f>Analysis!$Y$30</c:f>
              <c:strCache>
                <c:ptCount val="1"/>
                <c:pt idx="0">
                  <c:v> + inoc</c:v>
                </c:pt>
              </c:strCache>
            </c:strRef>
          </c:tx>
          <c:invertIfNegative val="0"/>
          <c:errBars>
            <c:errBarType val="both"/>
            <c:errValType val="cust"/>
            <c:noEndCap val="0"/>
            <c:plus>
              <c:numRef>
                <c:f>Analysis!$AE$31:$AE$38</c:f>
                <c:numCache>
                  <c:formatCode>General</c:formatCode>
                  <c:ptCount val="8"/>
                  <c:pt idx="0">
                    <c:v>8.5853524201054014</c:v>
                  </c:pt>
                  <c:pt idx="1">
                    <c:v>80.043621797871126</c:v>
                  </c:pt>
                  <c:pt idx="2">
                    <c:v>47.594794267819985</c:v>
                  </c:pt>
                  <c:pt idx="3">
                    <c:v>115.30943505688614</c:v>
                  </c:pt>
                  <c:pt idx="4">
                    <c:v>37.054505885544962</c:v>
                  </c:pt>
                  <c:pt idx="5">
                    <c:v>202.31505730226334</c:v>
                  </c:pt>
                  <c:pt idx="6">
                    <c:v>121.1092863028105</c:v>
                  </c:pt>
                </c:numCache>
              </c:numRef>
            </c:plus>
            <c:minus>
              <c:numRef>
                <c:f>Analysis!$AE$31:$AE$38</c:f>
                <c:numCache>
                  <c:formatCode>General</c:formatCode>
                  <c:ptCount val="8"/>
                  <c:pt idx="0">
                    <c:v>8.5853524201054014</c:v>
                  </c:pt>
                  <c:pt idx="1">
                    <c:v>80.043621797871126</c:v>
                  </c:pt>
                  <c:pt idx="2">
                    <c:v>47.594794267819985</c:v>
                  </c:pt>
                  <c:pt idx="3">
                    <c:v>115.30943505688614</c:v>
                  </c:pt>
                  <c:pt idx="4">
                    <c:v>37.054505885544962</c:v>
                  </c:pt>
                  <c:pt idx="5">
                    <c:v>202.31505730226334</c:v>
                  </c:pt>
                  <c:pt idx="6">
                    <c:v>121.1092863028105</c:v>
                  </c:pt>
                </c:numCache>
              </c:numRef>
            </c:minus>
          </c:errBars>
          <c:cat>
            <c:strRef>
              <c:f>Analysis!$W$31:$W$38</c:f>
              <c:strCache>
                <c:ptCount val="8"/>
                <c:pt idx="0">
                  <c:v>KK071</c:v>
                </c:pt>
                <c:pt idx="1">
                  <c:v>KK072</c:v>
                </c:pt>
                <c:pt idx="2">
                  <c:v>KK15</c:v>
                </c:pt>
                <c:pt idx="3">
                  <c:v>KK8</c:v>
                </c:pt>
                <c:pt idx="4">
                  <c:v>NEWROSCOCO</c:v>
                </c:pt>
                <c:pt idx="5">
                  <c:v>OKWODHO</c:v>
                </c:pt>
                <c:pt idx="6">
                  <c:v>KENYA UMOJA</c:v>
                </c:pt>
                <c:pt idx="7">
                  <c:v>KENYA UMOJA + Urea</c:v>
                </c:pt>
              </c:strCache>
            </c:strRef>
          </c:cat>
          <c:val>
            <c:numRef>
              <c:f>Analysis!$Y$31:$Y$38</c:f>
              <c:numCache>
                <c:formatCode>General</c:formatCode>
                <c:ptCount val="8"/>
                <c:pt idx="0">
                  <c:v>175.55555555555554</c:v>
                </c:pt>
                <c:pt idx="1">
                  <c:v>355.55284859383005</c:v>
                </c:pt>
                <c:pt idx="2">
                  <c:v>844.19753086419757</c:v>
                </c:pt>
                <c:pt idx="3">
                  <c:v>557.28395061728395</c:v>
                </c:pt>
                <c:pt idx="4">
                  <c:v>205.58809688304146</c:v>
                </c:pt>
                <c:pt idx="5">
                  <c:v>1578.7654320987651</c:v>
                </c:pt>
                <c:pt idx="6">
                  <c:v>835.80246913580243</c:v>
                </c:pt>
              </c:numCache>
            </c:numRef>
          </c:val>
        </c:ser>
        <c:dLbls>
          <c:showLegendKey val="0"/>
          <c:showVal val="0"/>
          <c:showCatName val="0"/>
          <c:showSerName val="0"/>
          <c:showPercent val="0"/>
          <c:showBubbleSize val="0"/>
        </c:dLbls>
        <c:gapWidth val="150"/>
        <c:axId val="181424512"/>
        <c:axId val="181426048"/>
      </c:barChart>
      <c:catAx>
        <c:axId val="181424512"/>
        <c:scaling>
          <c:orientation val="minMax"/>
        </c:scaling>
        <c:delete val="0"/>
        <c:axPos val="b"/>
        <c:majorTickMark val="out"/>
        <c:minorTickMark val="none"/>
        <c:tickLblPos val="nextTo"/>
        <c:crossAx val="181426048"/>
        <c:crosses val="autoZero"/>
        <c:auto val="1"/>
        <c:lblAlgn val="ctr"/>
        <c:lblOffset val="100"/>
        <c:noMultiLvlLbl val="0"/>
      </c:catAx>
      <c:valAx>
        <c:axId val="181426048"/>
        <c:scaling>
          <c:orientation val="minMax"/>
        </c:scaling>
        <c:delete val="0"/>
        <c:axPos val="l"/>
        <c:title>
          <c:tx>
            <c:rich>
              <a:bodyPr rot="-5400000" vert="horz"/>
              <a:lstStyle/>
              <a:p>
                <a:pPr>
                  <a:defRPr/>
                </a:pPr>
                <a:r>
                  <a:rPr lang="en-US"/>
                  <a:t>Bush bean grain yield (kg/ha)</a:t>
                </a:r>
              </a:p>
            </c:rich>
          </c:tx>
          <c:overlay val="0"/>
        </c:title>
        <c:numFmt formatCode="General" sourceLinked="1"/>
        <c:majorTickMark val="out"/>
        <c:minorTickMark val="none"/>
        <c:tickLblPos val="nextTo"/>
        <c:crossAx val="181424512"/>
        <c:crosses val="autoZero"/>
        <c:crossBetween val="between"/>
        <c:majorUnit val="500"/>
      </c:valAx>
    </c:plotArea>
    <c:legend>
      <c:legendPos val="tr"/>
      <c:layout>
        <c:manualLayout>
          <c:xMode val="edge"/>
          <c:yMode val="edge"/>
          <c:x val="0.74294553805774277"/>
          <c:y val="0"/>
          <c:w val="0.24316557305336833"/>
          <c:h val="9.3360309128025648E-2"/>
        </c:manualLayout>
      </c:layout>
      <c:overlay val="1"/>
    </c:legend>
    <c:plotVisOnly val="1"/>
    <c:dispBlanksAs val="gap"/>
    <c:showDLblsOverMax val="0"/>
  </c:chart>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Analysis!$X$42</c:f>
              <c:strCache>
                <c:ptCount val="1"/>
                <c:pt idx="0">
                  <c:v> - inoc</c:v>
                </c:pt>
              </c:strCache>
            </c:strRef>
          </c:tx>
          <c:invertIfNegative val="0"/>
          <c:errBars>
            <c:errBarType val="both"/>
            <c:errValType val="cust"/>
            <c:noEndCap val="0"/>
            <c:plus>
              <c:numRef>
                <c:f>Analysis!$AD$43:$AD$50</c:f>
                <c:numCache>
                  <c:formatCode>General</c:formatCode>
                  <c:ptCount val="8"/>
                  <c:pt idx="0">
                    <c:v>93.505571525122434</c:v>
                  </c:pt>
                  <c:pt idx="1">
                    <c:v>233.04256009638527</c:v>
                  </c:pt>
                  <c:pt idx="2">
                    <c:v>142.15011561116876</c:v>
                  </c:pt>
                  <c:pt idx="3">
                    <c:v>81.715613552477777</c:v>
                  </c:pt>
                  <c:pt idx="4">
                    <c:v>10.249702732714987</c:v>
                  </c:pt>
                  <c:pt idx="5">
                    <c:v>143.42837394013247</c:v>
                  </c:pt>
                  <c:pt idx="6">
                    <c:v>263.73570077297745</c:v>
                  </c:pt>
                  <c:pt idx="7">
                    <c:v>256.2232156256581</c:v>
                  </c:pt>
                </c:numCache>
              </c:numRef>
            </c:plus>
            <c:minus>
              <c:numRef>
                <c:f>Analysis!$AD$43:$AD$50</c:f>
                <c:numCache>
                  <c:formatCode>General</c:formatCode>
                  <c:ptCount val="8"/>
                  <c:pt idx="0">
                    <c:v>93.505571525122434</c:v>
                  </c:pt>
                  <c:pt idx="1">
                    <c:v>233.04256009638527</c:v>
                  </c:pt>
                  <c:pt idx="2">
                    <c:v>142.15011561116876</c:v>
                  </c:pt>
                  <c:pt idx="3">
                    <c:v>81.715613552477777</c:v>
                  </c:pt>
                  <c:pt idx="4">
                    <c:v>10.249702732714987</c:v>
                  </c:pt>
                  <c:pt idx="5">
                    <c:v>143.42837394013247</c:v>
                  </c:pt>
                  <c:pt idx="6">
                    <c:v>263.73570077297745</c:v>
                  </c:pt>
                  <c:pt idx="7">
                    <c:v>256.2232156256581</c:v>
                  </c:pt>
                </c:numCache>
              </c:numRef>
            </c:minus>
          </c:errBars>
          <c:cat>
            <c:strRef>
              <c:f>Analysis!$W$43:$W$50</c:f>
              <c:strCache>
                <c:ptCount val="8"/>
                <c:pt idx="0">
                  <c:v>KK071</c:v>
                </c:pt>
                <c:pt idx="1">
                  <c:v>KK072</c:v>
                </c:pt>
                <c:pt idx="2">
                  <c:v>KK15</c:v>
                </c:pt>
                <c:pt idx="3">
                  <c:v>KK8</c:v>
                </c:pt>
                <c:pt idx="4">
                  <c:v>NEWROSCOCO</c:v>
                </c:pt>
                <c:pt idx="5">
                  <c:v>OKWODHO</c:v>
                </c:pt>
                <c:pt idx="6">
                  <c:v>KENYA UMOJA</c:v>
                </c:pt>
                <c:pt idx="7">
                  <c:v>KENYA UMOJA + Urea</c:v>
                </c:pt>
              </c:strCache>
            </c:strRef>
          </c:cat>
          <c:val>
            <c:numRef>
              <c:f>Analysis!$X$43:$X$50</c:f>
              <c:numCache>
                <c:formatCode>General</c:formatCode>
                <c:ptCount val="8"/>
                <c:pt idx="0">
                  <c:v>335.73536624908746</c:v>
                </c:pt>
                <c:pt idx="1">
                  <c:v>536.2423541313542</c:v>
                </c:pt>
                <c:pt idx="2">
                  <c:v>1029.909858464672</c:v>
                </c:pt>
                <c:pt idx="3">
                  <c:v>386.84308571845696</c:v>
                </c:pt>
                <c:pt idx="4">
                  <c:v>126.30528974135841</c:v>
                </c:pt>
                <c:pt idx="5">
                  <c:v>1240.5575453399445</c:v>
                </c:pt>
                <c:pt idx="6">
                  <c:v>931.62569792678062</c:v>
                </c:pt>
                <c:pt idx="7">
                  <c:v>2022.1634401374893</c:v>
                </c:pt>
              </c:numCache>
            </c:numRef>
          </c:val>
        </c:ser>
        <c:ser>
          <c:idx val="1"/>
          <c:order val="1"/>
          <c:tx>
            <c:strRef>
              <c:f>Analysis!$Y$42</c:f>
              <c:strCache>
                <c:ptCount val="1"/>
                <c:pt idx="0">
                  <c:v> + inoc</c:v>
                </c:pt>
              </c:strCache>
            </c:strRef>
          </c:tx>
          <c:invertIfNegative val="0"/>
          <c:errBars>
            <c:errBarType val="both"/>
            <c:errValType val="cust"/>
            <c:noEndCap val="0"/>
            <c:plus>
              <c:numRef>
                <c:f>Analysis!$AE$43:$AE$50</c:f>
                <c:numCache>
                  <c:formatCode>General</c:formatCode>
                  <c:ptCount val="8"/>
                  <c:pt idx="0">
                    <c:v>15.042953923732794</c:v>
                  </c:pt>
                  <c:pt idx="1">
                    <c:v>86.123743330711491</c:v>
                  </c:pt>
                  <c:pt idx="2">
                    <c:v>42.325772138356449</c:v>
                  </c:pt>
                  <c:pt idx="3">
                    <c:v>112.28087534706044</c:v>
                  </c:pt>
                  <c:pt idx="4">
                    <c:v>58.239495029696336</c:v>
                  </c:pt>
                  <c:pt idx="5">
                    <c:v>83.71459120046346</c:v>
                  </c:pt>
                  <c:pt idx="6">
                    <c:v>181.46985661071304</c:v>
                  </c:pt>
                </c:numCache>
              </c:numRef>
            </c:plus>
            <c:minus>
              <c:numRef>
                <c:f>Analysis!$AE$43:$AE$50</c:f>
                <c:numCache>
                  <c:formatCode>General</c:formatCode>
                  <c:ptCount val="8"/>
                  <c:pt idx="0">
                    <c:v>15.042953923732794</c:v>
                  </c:pt>
                  <c:pt idx="1">
                    <c:v>86.123743330711491</c:v>
                  </c:pt>
                  <c:pt idx="2">
                    <c:v>42.325772138356449</c:v>
                  </c:pt>
                  <c:pt idx="3">
                    <c:v>112.28087534706044</c:v>
                  </c:pt>
                  <c:pt idx="4">
                    <c:v>58.239495029696336</c:v>
                  </c:pt>
                  <c:pt idx="5">
                    <c:v>83.71459120046346</c:v>
                  </c:pt>
                  <c:pt idx="6">
                    <c:v>181.46985661071304</c:v>
                  </c:pt>
                </c:numCache>
              </c:numRef>
            </c:minus>
          </c:errBars>
          <c:cat>
            <c:strRef>
              <c:f>Analysis!$W$43:$W$50</c:f>
              <c:strCache>
                <c:ptCount val="8"/>
                <c:pt idx="0">
                  <c:v>KK071</c:v>
                </c:pt>
                <c:pt idx="1">
                  <c:v>KK072</c:v>
                </c:pt>
                <c:pt idx="2">
                  <c:v>KK15</c:v>
                </c:pt>
                <c:pt idx="3">
                  <c:v>KK8</c:v>
                </c:pt>
                <c:pt idx="4">
                  <c:v>NEWROSCOCO</c:v>
                </c:pt>
                <c:pt idx="5">
                  <c:v>OKWODHO</c:v>
                </c:pt>
                <c:pt idx="6">
                  <c:v>KENYA UMOJA</c:v>
                </c:pt>
                <c:pt idx="7">
                  <c:v>KENYA UMOJA + Urea</c:v>
                </c:pt>
              </c:strCache>
            </c:strRef>
          </c:cat>
          <c:val>
            <c:numRef>
              <c:f>Analysis!$Y$43:$Y$50</c:f>
              <c:numCache>
                <c:formatCode>General</c:formatCode>
                <c:ptCount val="8"/>
                <c:pt idx="0">
                  <c:v>235.13853170972129</c:v>
                </c:pt>
                <c:pt idx="1">
                  <c:v>404.12614443485126</c:v>
                </c:pt>
                <c:pt idx="2">
                  <c:v>868.14654905744464</c:v>
                </c:pt>
                <c:pt idx="3">
                  <c:v>604.38252666354504</c:v>
                </c:pt>
                <c:pt idx="4">
                  <c:v>264.29605144806345</c:v>
                </c:pt>
                <c:pt idx="5">
                  <c:v>1528.629055039466</c:v>
                </c:pt>
                <c:pt idx="6">
                  <c:v>760.02123857186507</c:v>
                </c:pt>
              </c:numCache>
            </c:numRef>
          </c:val>
        </c:ser>
        <c:dLbls>
          <c:showLegendKey val="0"/>
          <c:showVal val="0"/>
          <c:showCatName val="0"/>
          <c:showSerName val="0"/>
          <c:showPercent val="0"/>
          <c:showBubbleSize val="0"/>
        </c:dLbls>
        <c:gapWidth val="150"/>
        <c:axId val="181435776"/>
        <c:axId val="181445760"/>
      </c:barChart>
      <c:catAx>
        <c:axId val="181435776"/>
        <c:scaling>
          <c:orientation val="minMax"/>
        </c:scaling>
        <c:delete val="0"/>
        <c:axPos val="b"/>
        <c:majorTickMark val="out"/>
        <c:minorTickMark val="none"/>
        <c:tickLblPos val="nextTo"/>
        <c:crossAx val="181445760"/>
        <c:crosses val="autoZero"/>
        <c:auto val="1"/>
        <c:lblAlgn val="ctr"/>
        <c:lblOffset val="100"/>
        <c:noMultiLvlLbl val="0"/>
      </c:catAx>
      <c:valAx>
        <c:axId val="181445760"/>
        <c:scaling>
          <c:orientation val="minMax"/>
        </c:scaling>
        <c:delete val="0"/>
        <c:axPos val="l"/>
        <c:title>
          <c:tx>
            <c:rich>
              <a:bodyPr rot="-5400000" vert="horz"/>
              <a:lstStyle/>
              <a:p>
                <a:pPr>
                  <a:defRPr/>
                </a:pPr>
                <a:r>
                  <a:rPr lang="en-US"/>
                  <a:t>Bush bean stover yield (kg/ha)</a:t>
                </a:r>
              </a:p>
            </c:rich>
          </c:tx>
          <c:overlay val="0"/>
        </c:title>
        <c:numFmt formatCode="General" sourceLinked="1"/>
        <c:majorTickMark val="out"/>
        <c:minorTickMark val="none"/>
        <c:tickLblPos val="nextTo"/>
        <c:crossAx val="181435776"/>
        <c:crosses val="autoZero"/>
        <c:crossBetween val="between"/>
      </c:valAx>
    </c:plotArea>
    <c:legend>
      <c:legendPos val="tr"/>
      <c:layout>
        <c:manualLayout>
          <c:xMode val="edge"/>
          <c:yMode val="edge"/>
          <c:x val="0.74572331583552054"/>
          <c:y val="0"/>
          <c:w val="0.23761001749781277"/>
          <c:h val="9.3360309128025648E-2"/>
        </c:manualLayout>
      </c:layout>
      <c:overlay val="1"/>
    </c:legend>
    <c:plotVisOnly val="1"/>
    <c:dispBlanksAs val="gap"/>
    <c:showDLblsOverMax val="0"/>
  </c:chart>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Analysis!$AC$18</c:f>
              <c:strCache>
                <c:ptCount val="1"/>
                <c:pt idx="0">
                  <c:v> - inoc</c:v>
                </c:pt>
              </c:strCache>
            </c:strRef>
          </c:tx>
          <c:invertIfNegative val="0"/>
          <c:errBars>
            <c:errBarType val="both"/>
            <c:errValType val="cust"/>
            <c:noEndCap val="0"/>
            <c:plus>
              <c:numRef>
                <c:f>Analysis!$AI$19:$AI$25</c:f>
                <c:numCache>
                  <c:formatCode>General</c:formatCode>
                  <c:ptCount val="7"/>
                  <c:pt idx="0">
                    <c:v>0.40824829046386307</c:v>
                  </c:pt>
                  <c:pt idx="1">
                    <c:v>0.84129529760826416</c:v>
                  </c:pt>
                  <c:pt idx="2">
                    <c:v>0.58118652580542307</c:v>
                  </c:pt>
                  <c:pt idx="3">
                    <c:v>0.59254629448770579</c:v>
                  </c:pt>
                  <c:pt idx="4">
                    <c:v>0.40000000000000169</c:v>
                  </c:pt>
                  <c:pt idx="5">
                    <c:v>0.40414518843273778</c:v>
                  </c:pt>
                  <c:pt idx="6">
                    <c:v>0.6173419725817374</c:v>
                  </c:pt>
                </c:numCache>
              </c:numRef>
            </c:plus>
            <c:minus>
              <c:numRef>
                <c:f>Analysis!$AI$19:$AI$25</c:f>
                <c:numCache>
                  <c:formatCode>General</c:formatCode>
                  <c:ptCount val="7"/>
                  <c:pt idx="0">
                    <c:v>0.40824829046386307</c:v>
                  </c:pt>
                  <c:pt idx="1">
                    <c:v>0.84129529760826416</c:v>
                  </c:pt>
                  <c:pt idx="2">
                    <c:v>0.58118652580542307</c:v>
                  </c:pt>
                  <c:pt idx="3">
                    <c:v>0.59254629448770579</c:v>
                  </c:pt>
                  <c:pt idx="4">
                    <c:v>0.40000000000000169</c:v>
                  </c:pt>
                  <c:pt idx="5">
                    <c:v>0.40414518843273778</c:v>
                  </c:pt>
                  <c:pt idx="6">
                    <c:v>0.6173419725817374</c:v>
                  </c:pt>
                </c:numCache>
              </c:numRef>
            </c:minus>
          </c:errBars>
          <c:cat>
            <c:strRef>
              <c:f>Analysis!$AB$19:$AB$25</c:f>
              <c:strCache>
                <c:ptCount val="7"/>
                <c:pt idx="0">
                  <c:v>EAI3600</c:v>
                </c:pt>
                <c:pt idx="1">
                  <c:v>Saga</c:v>
                </c:pt>
                <c:pt idx="2">
                  <c:v>Squire</c:v>
                </c:pt>
                <c:pt idx="3">
                  <c:v>SB 3</c:v>
                </c:pt>
                <c:pt idx="4">
                  <c:v>SB 25</c:v>
                </c:pt>
                <c:pt idx="5">
                  <c:v>SB 19</c:v>
                </c:pt>
                <c:pt idx="6">
                  <c:v>SB 19 + urea</c:v>
                </c:pt>
              </c:strCache>
            </c:strRef>
          </c:cat>
          <c:val>
            <c:numRef>
              <c:f>Analysis!$AC$19:$AC$25</c:f>
              <c:numCache>
                <c:formatCode>General</c:formatCode>
                <c:ptCount val="7"/>
                <c:pt idx="0">
                  <c:v>1.5</c:v>
                </c:pt>
                <c:pt idx="1">
                  <c:v>1.7666666666666666</c:v>
                </c:pt>
                <c:pt idx="2">
                  <c:v>1.7666666666666668</c:v>
                </c:pt>
                <c:pt idx="3">
                  <c:v>2.5333333333333332</c:v>
                </c:pt>
                <c:pt idx="4">
                  <c:v>2.9</c:v>
                </c:pt>
                <c:pt idx="5">
                  <c:v>1.5</c:v>
                </c:pt>
                <c:pt idx="6">
                  <c:v>1.9333333333333336</c:v>
                </c:pt>
              </c:numCache>
            </c:numRef>
          </c:val>
        </c:ser>
        <c:ser>
          <c:idx val="1"/>
          <c:order val="1"/>
          <c:tx>
            <c:strRef>
              <c:f>Analysis!$AD$18</c:f>
              <c:strCache>
                <c:ptCount val="1"/>
                <c:pt idx="0">
                  <c:v> + inoc</c:v>
                </c:pt>
              </c:strCache>
            </c:strRef>
          </c:tx>
          <c:invertIfNegative val="0"/>
          <c:errBars>
            <c:errBarType val="both"/>
            <c:errValType val="cust"/>
            <c:noEndCap val="0"/>
            <c:plus>
              <c:numRef>
                <c:f>Analysis!$AJ$19:$AJ$25</c:f>
                <c:numCache>
                  <c:formatCode>General</c:formatCode>
                  <c:ptCount val="7"/>
                  <c:pt idx="0">
                    <c:v>0.60092521257733189</c:v>
                  </c:pt>
                  <c:pt idx="1">
                    <c:v>8.819171036881987E-2</c:v>
                  </c:pt>
                  <c:pt idx="2">
                    <c:v>8.8191710368806436E-2</c:v>
                  </c:pt>
                  <c:pt idx="3">
                    <c:v>0.10000000000001374</c:v>
                  </c:pt>
                  <c:pt idx="4">
                    <c:v>0.23333333333332876</c:v>
                  </c:pt>
                  <c:pt idx="5">
                    <c:v>0.11547005383792393</c:v>
                  </c:pt>
                  <c:pt idx="6">
                    <c:v>0</c:v>
                  </c:pt>
                </c:numCache>
              </c:numRef>
            </c:plus>
            <c:minus>
              <c:numRef>
                <c:f>Analysis!$AJ$19:$AJ$25</c:f>
                <c:numCache>
                  <c:formatCode>General</c:formatCode>
                  <c:ptCount val="7"/>
                  <c:pt idx="0">
                    <c:v>0.60092521257733189</c:v>
                  </c:pt>
                  <c:pt idx="1">
                    <c:v>8.819171036881987E-2</c:v>
                  </c:pt>
                  <c:pt idx="2">
                    <c:v>8.8191710368806436E-2</c:v>
                  </c:pt>
                  <c:pt idx="3">
                    <c:v>0.10000000000001374</c:v>
                  </c:pt>
                  <c:pt idx="4">
                    <c:v>0.23333333333332876</c:v>
                  </c:pt>
                  <c:pt idx="5">
                    <c:v>0.11547005383792393</c:v>
                  </c:pt>
                  <c:pt idx="6">
                    <c:v>0</c:v>
                  </c:pt>
                </c:numCache>
              </c:numRef>
            </c:minus>
          </c:errBars>
          <c:cat>
            <c:strRef>
              <c:f>Analysis!$AB$19:$AB$25</c:f>
              <c:strCache>
                <c:ptCount val="7"/>
                <c:pt idx="0">
                  <c:v>EAI3600</c:v>
                </c:pt>
                <c:pt idx="1">
                  <c:v>Saga</c:v>
                </c:pt>
                <c:pt idx="2">
                  <c:v>Squire</c:v>
                </c:pt>
                <c:pt idx="3">
                  <c:v>SB 3</c:v>
                </c:pt>
                <c:pt idx="4">
                  <c:v>SB 25</c:v>
                </c:pt>
                <c:pt idx="5">
                  <c:v>SB 19</c:v>
                </c:pt>
                <c:pt idx="6">
                  <c:v>SB 19 + urea</c:v>
                </c:pt>
              </c:strCache>
            </c:strRef>
          </c:cat>
          <c:val>
            <c:numRef>
              <c:f>Analysis!$AD$19:$AD$25</c:f>
              <c:numCache>
                <c:formatCode>General</c:formatCode>
                <c:ptCount val="7"/>
                <c:pt idx="0">
                  <c:v>2.0666666666666664</c:v>
                </c:pt>
                <c:pt idx="1">
                  <c:v>4.833333333333333</c:v>
                </c:pt>
                <c:pt idx="2">
                  <c:v>4.8666666666666671</c:v>
                </c:pt>
                <c:pt idx="3">
                  <c:v>4.8999999999999995</c:v>
                </c:pt>
                <c:pt idx="4">
                  <c:v>4.7666666666666666</c:v>
                </c:pt>
                <c:pt idx="5">
                  <c:v>4.7</c:v>
                </c:pt>
              </c:numCache>
            </c:numRef>
          </c:val>
        </c:ser>
        <c:dLbls>
          <c:showLegendKey val="0"/>
          <c:showVal val="0"/>
          <c:showCatName val="0"/>
          <c:showSerName val="0"/>
          <c:showPercent val="0"/>
          <c:showBubbleSize val="0"/>
        </c:dLbls>
        <c:gapWidth val="150"/>
        <c:axId val="181475968"/>
        <c:axId val="181490048"/>
      </c:barChart>
      <c:catAx>
        <c:axId val="181475968"/>
        <c:scaling>
          <c:orientation val="minMax"/>
        </c:scaling>
        <c:delete val="0"/>
        <c:axPos val="b"/>
        <c:majorTickMark val="out"/>
        <c:minorTickMark val="none"/>
        <c:tickLblPos val="nextTo"/>
        <c:crossAx val="181490048"/>
        <c:crosses val="autoZero"/>
        <c:auto val="1"/>
        <c:lblAlgn val="ctr"/>
        <c:lblOffset val="100"/>
        <c:noMultiLvlLbl val="0"/>
      </c:catAx>
      <c:valAx>
        <c:axId val="181490048"/>
        <c:scaling>
          <c:orientation val="minMax"/>
        </c:scaling>
        <c:delete val="0"/>
        <c:axPos val="l"/>
        <c:title>
          <c:tx>
            <c:rich>
              <a:bodyPr rot="-5400000" vert="horz"/>
              <a:lstStyle/>
              <a:p>
                <a:pPr>
                  <a:defRPr/>
                </a:pPr>
                <a:r>
                  <a:rPr lang="en-US"/>
                  <a:t>Soybean average nodule score</a:t>
                </a:r>
              </a:p>
            </c:rich>
          </c:tx>
          <c:overlay val="0"/>
        </c:title>
        <c:numFmt formatCode="General" sourceLinked="1"/>
        <c:majorTickMark val="out"/>
        <c:minorTickMark val="none"/>
        <c:tickLblPos val="nextTo"/>
        <c:crossAx val="181475968"/>
        <c:crosses val="autoZero"/>
        <c:crossBetween val="between"/>
      </c:valAx>
    </c:plotArea>
    <c:legend>
      <c:legendPos val="tr"/>
      <c:overlay val="1"/>
    </c:legend>
    <c:plotVisOnly val="1"/>
    <c:dispBlanksAs val="gap"/>
    <c:showDLblsOverMax val="0"/>
  </c:chart>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Analysis!$AC$28</c:f>
              <c:strCache>
                <c:ptCount val="1"/>
                <c:pt idx="0">
                  <c:v> - inoc</c:v>
                </c:pt>
              </c:strCache>
            </c:strRef>
          </c:tx>
          <c:invertIfNegative val="0"/>
          <c:errBars>
            <c:errBarType val="both"/>
            <c:errValType val="cust"/>
            <c:noEndCap val="0"/>
            <c:plus>
              <c:numRef>
                <c:f>Analysis!$AI$29:$AI$35</c:f>
                <c:numCache>
                  <c:formatCode>General</c:formatCode>
                  <c:ptCount val="7"/>
                  <c:pt idx="0">
                    <c:v>56.162990078281013</c:v>
                  </c:pt>
                  <c:pt idx="1">
                    <c:v>590.72998594031537</c:v>
                  </c:pt>
                  <c:pt idx="2">
                    <c:v>185.09910526864223</c:v>
                  </c:pt>
                  <c:pt idx="3">
                    <c:v>85.49617004503655</c:v>
                  </c:pt>
                  <c:pt idx="4">
                    <c:v>200.63532353640596</c:v>
                  </c:pt>
                  <c:pt idx="5">
                    <c:v>189.69841536589385</c:v>
                  </c:pt>
                  <c:pt idx="6">
                    <c:v>135.82444818374282</c:v>
                  </c:pt>
                </c:numCache>
              </c:numRef>
            </c:plus>
            <c:minus>
              <c:numRef>
                <c:f>Analysis!$AI$29:$AI$35</c:f>
                <c:numCache>
                  <c:formatCode>General</c:formatCode>
                  <c:ptCount val="7"/>
                  <c:pt idx="0">
                    <c:v>56.162990078281013</c:v>
                  </c:pt>
                  <c:pt idx="1">
                    <c:v>590.72998594031537</c:v>
                  </c:pt>
                  <c:pt idx="2">
                    <c:v>185.09910526864223</c:v>
                  </c:pt>
                  <c:pt idx="3">
                    <c:v>85.49617004503655</c:v>
                  </c:pt>
                  <c:pt idx="4">
                    <c:v>200.63532353640596</c:v>
                  </c:pt>
                  <c:pt idx="5">
                    <c:v>189.69841536589385</c:v>
                  </c:pt>
                  <c:pt idx="6">
                    <c:v>135.82444818374282</c:v>
                  </c:pt>
                </c:numCache>
              </c:numRef>
            </c:minus>
          </c:errBars>
          <c:cat>
            <c:strRef>
              <c:f>Analysis!$AB$29:$AB$35</c:f>
              <c:strCache>
                <c:ptCount val="7"/>
                <c:pt idx="0">
                  <c:v>EAI3600</c:v>
                </c:pt>
                <c:pt idx="1">
                  <c:v>Saga</c:v>
                </c:pt>
                <c:pt idx="2">
                  <c:v>Squire</c:v>
                </c:pt>
                <c:pt idx="3">
                  <c:v>SB 3</c:v>
                </c:pt>
                <c:pt idx="4">
                  <c:v>SB 25</c:v>
                </c:pt>
                <c:pt idx="5">
                  <c:v>SB 19</c:v>
                </c:pt>
                <c:pt idx="6">
                  <c:v>SB 19 + urea</c:v>
                </c:pt>
              </c:strCache>
            </c:strRef>
          </c:cat>
          <c:val>
            <c:numRef>
              <c:f>Analysis!$AC$29:$AC$35</c:f>
              <c:numCache>
                <c:formatCode>General</c:formatCode>
                <c:ptCount val="7"/>
                <c:pt idx="0">
                  <c:v>219.54039751390869</c:v>
                </c:pt>
                <c:pt idx="1">
                  <c:v>1135.5857946302569</c:v>
                </c:pt>
                <c:pt idx="2">
                  <c:v>963.2981732524255</c:v>
                </c:pt>
                <c:pt idx="3">
                  <c:v>537.59645403126467</c:v>
                </c:pt>
                <c:pt idx="4">
                  <c:v>591.82710529603889</c:v>
                </c:pt>
                <c:pt idx="5">
                  <c:v>406.63902880147197</c:v>
                </c:pt>
                <c:pt idx="6">
                  <c:v>663.59245218801198</c:v>
                </c:pt>
              </c:numCache>
            </c:numRef>
          </c:val>
        </c:ser>
        <c:ser>
          <c:idx val="1"/>
          <c:order val="1"/>
          <c:tx>
            <c:strRef>
              <c:f>Analysis!$AD$28</c:f>
              <c:strCache>
                <c:ptCount val="1"/>
                <c:pt idx="0">
                  <c:v> + inoc</c:v>
                </c:pt>
              </c:strCache>
            </c:strRef>
          </c:tx>
          <c:invertIfNegative val="0"/>
          <c:errBars>
            <c:errBarType val="both"/>
            <c:errValType val="cust"/>
            <c:noEndCap val="0"/>
            <c:plus>
              <c:numRef>
                <c:f>Analysis!$AJ$29:$AJ$35</c:f>
                <c:numCache>
                  <c:formatCode>General</c:formatCode>
                  <c:ptCount val="7"/>
                  <c:pt idx="0">
                    <c:v>22.30454339798186</c:v>
                  </c:pt>
                  <c:pt idx="1">
                    <c:v>548.01257951564821</c:v>
                  </c:pt>
                  <c:pt idx="2">
                    <c:v>187.53741404439597</c:v>
                  </c:pt>
                  <c:pt idx="3">
                    <c:v>282.37506920607433</c:v>
                  </c:pt>
                  <c:pt idx="4">
                    <c:v>38.742563450171858</c:v>
                  </c:pt>
                  <c:pt idx="5">
                    <c:v>271.57798875828723</c:v>
                  </c:pt>
                  <c:pt idx="6">
                    <c:v>0</c:v>
                  </c:pt>
                </c:numCache>
              </c:numRef>
            </c:plus>
            <c:minus>
              <c:numRef>
                <c:f>Analysis!$AJ$29:$AJ$35</c:f>
                <c:numCache>
                  <c:formatCode>General</c:formatCode>
                  <c:ptCount val="7"/>
                  <c:pt idx="0">
                    <c:v>22.30454339798186</c:v>
                  </c:pt>
                  <c:pt idx="1">
                    <c:v>548.01257951564821</c:v>
                  </c:pt>
                  <c:pt idx="2">
                    <c:v>187.53741404439597</c:v>
                  </c:pt>
                  <c:pt idx="3">
                    <c:v>282.37506920607433</c:v>
                  </c:pt>
                  <c:pt idx="4">
                    <c:v>38.742563450171858</c:v>
                  </c:pt>
                  <c:pt idx="5">
                    <c:v>271.57798875828723</c:v>
                  </c:pt>
                  <c:pt idx="6">
                    <c:v>0</c:v>
                  </c:pt>
                </c:numCache>
              </c:numRef>
            </c:minus>
          </c:errBars>
          <c:cat>
            <c:strRef>
              <c:f>Analysis!$AB$29:$AB$35</c:f>
              <c:strCache>
                <c:ptCount val="7"/>
                <c:pt idx="0">
                  <c:v>EAI3600</c:v>
                </c:pt>
                <c:pt idx="1">
                  <c:v>Saga</c:v>
                </c:pt>
                <c:pt idx="2">
                  <c:v>Squire</c:v>
                </c:pt>
                <c:pt idx="3">
                  <c:v>SB 3</c:v>
                </c:pt>
                <c:pt idx="4">
                  <c:v>SB 25</c:v>
                </c:pt>
                <c:pt idx="5">
                  <c:v>SB 19</c:v>
                </c:pt>
                <c:pt idx="6">
                  <c:v>SB 19 + urea</c:v>
                </c:pt>
              </c:strCache>
            </c:strRef>
          </c:cat>
          <c:val>
            <c:numRef>
              <c:f>Analysis!$AD$29:$AD$35</c:f>
              <c:numCache>
                <c:formatCode>General</c:formatCode>
                <c:ptCount val="7"/>
                <c:pt idx="0">
                  <c:v>214.99763435473548</c:v>
                </c:pt>
                <c:pt idx="1">
                  <c:v>2420.8906360928618</c:v>
                </c:pt>
                <c:pt idx="2">
                  <c:v>2199.6771045196533</c:v>
                </c:pt>
                <c:pt idx="3">
                  <c:v>1529.0778791364526</c:v>
                </c:pt>
                <c:pt idx="4">
                  <c:v>1865.3043212356354</c:v>
                </c:pt>
                <c:pt idx="5">
                  <c:v>1227.1653354385155</c:v>
                </c:pt>
              </c:numCache>
            </c:numRef>
          </c:val>
        </c:ser>
        <c:dLbls>
          <c:showLegendKey val="0"/>
          <c:showVal val="0"/>
          <c:showCatName val="0"/>
          <c:showSerName val="0"/>
          <c:showPercent val="0"/>
          <c:showBubbleSize val="0"/>
        </c:dLbls>
        <c:gapWidth val="150"/>
        <c:axId val="181507968"/>
        <c:axId val="181509504"/>
      </c:barChart>
      <c:catAx>
        <c:axId val="181507968"/>
        <c:scaling>
          <c:orientation val="minMax"/>
        </c:scaling>
        <c:delete val="0"/>
        <c:axPos val="b"/>
        <c:majorTickMark val="out"/>
        <c:minorTickMark val="none"/>
        <c:tickLblPos val="nextTo"/>
        <c:crossAx val="181509504"/>
        <c:crosses val="autoZero"/>
        <c:auto val="1"/>
        <c:lblAlgn val="ctr"/>
        <c:lblOffset val="100"/>
        <c:noMultiLvlLbl val="0"/>
      </c:catAx>
      <c:valAx>
        <c:axId val="181509504"/>
        <c:scaling>
          <c:orientation val="minMax"/>
        </c:scaling>
        <c:delete val="0"/>
        <c:axPos val="l"/>
        <c:title>
          <c:tx>
            <c:rich>
              <a:bodyPr rot="-5400000" vert="horz"/>
              <a:lstStyle/>
              <a:p>
                <a:pPr>
                  <a:defRPr/>
                </a:pPr>
                <a:r>
                  <a:rPr lang="en-US"/>
                  <a:t>Soybean grain yield (kg/ha)</a:t>
                </a:r>
              </a:p>
            </c:rich>
          </c:tx>
          <c:overlay val="0"/>
        </c:title>
        <c:numFmt formatCode="General" sourceLinked="1"/>
        <c:majorTickMark val="out"/>
        <c:minorTickMark val="none"/>
        <c:tickLblPos val="nextTo"/>
        <c:crossAx val="181507968"/>
        <c:crosses val="autoZero"/>
        <c:crossBetween val="between"/>
      </c:valAx>
    </c:plotArea>
    <c:legend>
      <c:legendPos val="tr"/>
      <c:overlay val="1"/>
    </c:legend>
    <c:plotVisOnly val="1"/>
    <c:dispBlanksAs val="gap"/>
    <c:showDLblsOverMax val="0"/>
  </c:chart>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Analysis!$AC$38</c:f>
              <c:strCache>
                <c:ptCount val="1"/>
                <c:pt idx="0">
                  <c:v> - inoc</c:v>
                </c:pt>
              </c:strCache>
            </c:strRef>
          </c:tx>
          <c:invertIfNegative val="0"/>
          <c:errBars>
            <c:errBarType val="both"/>
            <c:errValType val="cust"/>
            <c:noEndCap val="0"/>
            <c:plus>
              <c:numRef>
                <c:f>Analysis!$AI$39:$AI$45</c:f>
                <c:numCache>
                  <c:formatCode>General</c:formatCode>
                  <c:ptCount val="7"/>
                  <c:pt idx="0">
                    <c:v>88.09166885417379</c:v>
                  </c:pt>
                  <c:pt idx="1">
                    <c:v>349.12013819488567</c:v>
                  </c:pt>
                  <c:pt idx="2">
                    <c:v>141.88848237886327</c:v>
                  </c:pt>
                  <c:pt idx="3">
                    <c:v>140.72687574923771</c:v>
                  </c:pt>
                  <c:pt idx="4">
                    <c:v>28.3610909146248</c:v>
                  </c:pt>
                  <c:pt idx="5">
                    <c:v>41.399962681395074</c:v>
                  </c:pt>
                  <c:pt idx="6">
                    <c:v>44.732489220098117</c:v>
                  </c:pt>
                </c:numCache>
              </c:numRef>
            </c:plus>
            <c:minus>
              <c:numRef>
                <c:f>Analysis!$AI$39:$AI$45</c:f>
                <c:numCache>
                  <c:formatCode>General</c:formatCode>
                  <c:ptCount val="7"/>
                  <c:pt idx="0">
                    <c:v>88.09166885417379</c:v>
                  </c:pt>
                  <c:pt idx="1">
                    <c:v>349.12013819488567</c:v>
                  </c:pt>
                  <c:pt idx="2">
                    <c:v>141.88848237886327</c:v>
                  </c:pt>
                  <c:pt idx="3">
                    <c:v>140.72687574923771</c:v>
                  </c:pt>
                  <c:pt idx="4">
                    <c:v>28.3610909146248</c:v>
                  </c:pt>
                  <c:pt idx="5">
                    <c:v>41.399962681395074</c:v>
                  </c:pt>
                  <c:pt idx="6">
                    <c:v>44.732489220098117</c:v>
                  </c:pt>
                </c:numCache>
              </c:numRef>
            </c:minus>
          </c:errBars>
          <c:cat>
            <c:strRef>
              <c:f>Analysis!$AB$39:$AB$45</c:f>
              <c:strCache>
                <c:ptCount val="7"/>
                <c:pt idx="0">
                  <c:v>EAI3600</c:v>
                </c:pt>
                <c:pt idx="1">
                  <c:v>Saga</c:v>
                </c:pt>
                <c:pt idx="2">
                  <c:v>Squire</c:v>
                </c:pt>
                <c:pt idx="3">
                  <c:v>SB 3</c:v>
                </c:pt>
                <c:pt idx="4">
                  <c:v>SB 25</c:v>
                </c:pt>
                <c:pt idx="5">
                  <c:v>SB 19</c:v>
                </c:pt>
                <c:pt idx="6">
                  <c:v>SB 19 + urea</c:v>
                </c:pt>
              </c:strCache>
            </c:strRef>
          </c:cat>
          <c:val>
            <c:numRef>
              <c:f>Analysis!$AC$39:$AC$45</c:f>
              <c:numCache>
                <c:formatCode>General</c:formatCode>
                <c:ptCount val="7"/>
                <c:pt idx="0">
                  <c:v>824.31361471268804</c:v>
                </c:pt>
                <c:pt idx="1">
                  <c:v>1178.0199617961987</c:v>
                </c:pt>
                <c:pt idx="2">
                  <c:v>1217.7876019464031</c:v>
                </c:pt>
                <c:pt idx="3">
                  <c:v>915.04930356068871</c:v>
                </c:pt>
                <c:pt idx="4">
                  <c:v>1060.0358076457599</c:v>
                </c:pt>
                <c:pt idx="5">
                  <c:v>610.9688768707905</c:v>
                </c:pt>
                <c:pt idx="6">
                  <c:v>990.84427856310765</c:v>
                </c:pt>
              </c:numCache>
            </c:numRef>
          </c:val>
        </c:ser>
        <c:ser>
          <c:idx val="1"/>
          <c:order val="1"/>
          <c:tx>
            <c:strRef>
              <c:f>Analysis!$AD$38</c:f>
              <c:strCache>
                <c:ptCount val="1"/>
                <c:pt idx="0">
                  <c:v> + inoc</c:v>
                </c:pt>
              </c:strCache>
            </c:strRef>
          </c:tx>
          <c:invertIfNegative val="0"/>
          <c:errBars>
            <c:errBarType val="both"/>
            <c:errValType val="cust"/>
            <c:noEndCap val="0"/>
            <c:plus>
              <c:numRef>
                <c:f>Analysis!$AJ$39:$AJ$45</c:f>
                <c:numCache>
                  <c:formatCode>General</c:formatCode>
                  <c:ptCount val="7"/>
                  <c:pt idx="0">
                    <c:v>50.123682195195279</c:v>
                  </c:pt>
                  <c:pt idx="1">
                    <c:v>127.21048162301976</c:v>
                  </c:pt>
                  <c:pt idx="2">
                    <c:v>85.619693318563179</c:v>
                  </c:pt>
                  <c:pt idx="3">
                    <c:v>165.84733579948463</c:v>
                  </c:pt>
                  <c:pt idx="4">
                    <c:v>79.27247590088848</c:v>
                  </c:pt>
                  <c:pt idx="5">
                    <c:v>47.299048525745093</c:v>
                  </c:pt>
                  <c:pt idx="6">
                    <c:v>0</c:v>
                  </c:pt>
                </c:numCache>
              </c:numRef>
            </c:plus>
            <c:minus>
              <c:numRef>
                <c:f>Analysis!$AJ$39:$AJ$45</c:f>
                <c:numCache>
                  <c:formatCode>General</c:formatCode>
                  <c:ptCount val="7"/>
                  <c:pt idx="0">
                    <c:v>50.123682195195279</c:v>
                  </c:pt>
                  <c:pt idx="1">
                    <c:v>127.21048162301976</c:v>
                  </c:pt>
                  <c:pt idx="2">
                    <c:v>85.619693318563179</c:v>
                  </c:pt>
                  <c:pt idx="3">
                    <c:v>165.84733579948463</c:v>
                  </c:pt>
                  <c:pt idx="4">
                    <c:v>79.27247590088848</c:v>
                  </c:pt>
                  <c:pt idx="5">
                    <c:v>47.299048525745093</c:v>
                  </c:pt>
                  <c:pt idx="6">
                    <c:v>0</c:v>
                  </c:pt>
                </c:numCache>
              </c:numRef>
            </c:minus>
          </c:errBars>
          <c:cat>
            <c:strRef>
              <c:f>Analysis!$AB$39:$AB$45</c:f>
              <c:strCache>
                <c:ptCount val="7"/>
                <c:pt idx="0">
                  <c:v>EAI3600</c:v>
                </c:pt>
                <c:pt idx="1">
                  <c:v>Saga</c:v>
                </c:pt>
                <c:pt idx="2">
                  <c:v>Squire</c:v>
                </c:pt>
                <c:pt idx="3">
                  <c:v>SB 3</c:v>
                </c:pt>
                <c:pt idx="4">
                  <c:v>SB 25</c:v>
                </c:pt>
                <c:pt idx="5">
                  <c:v>SB 19</c:v>
                </c:pt>
                <c:pt idx="6">
                  <c:v>SB 19 + urea</c:v>
                </c:pt>
              </c:strCache>
            </c:strRef>
          </c:cat>
          <c:val>
            <c:numRef>
              <c:f>Analysis!$AD$39:$AD$45</c:f>
              <c:numCache>
                <c:formatCode>General</c:formatCode>
                <c:ptCount val="7"/>
                <c:pt idx="0">
                  <c:v>760.59996365088682</c:v>
                </c:pt>
                <c:pt idx="1">
                  <c:v>1737.9020202189811</c:v>
                </c:pt>
                <c:pt idx="2">
                  <c:v>2022.6151341361838</c:v>
                </c:pt>
                <c:pt idx="3">
                  <c:v>2066.1884234283611</c:v>
                </c:pt>
                <c:pt idx="4">
                  <c:v>1770.4745375373925</c:v>
                </c:pt>
                <c:pt idx="5">
                  <c:v>857.31169322405913</c:v>
                </c:pt>
              </c:numCache>
            </c:numRef>
          </c:val>
        </c:ser>
        <c:dLbls>
          <c:showLegendKey val="0"/>
          <c:showVal val="0"/>
          <c:showCatName val="0"/>
          <c:showSerName val="0"/>
          <c:showPercent val="0"/>
          <c:showBubbleSize val="0"/>
        </c:dLbls>
        <c:gapWidth val="150"/>
        <c:axId val="181531776"/>
        <c:axId val="181533312"/>
      </c:barChart>
      <c:catAx>
        <c:axId val="181531776"/>
        <c:scaling>
          <c:orientation val="minMax"/>
        </c:scaling>
        <c:delete val="0"/>
        <c:axPos val="b"/>
        <c:majorTickMark val="out"/>
        <c:minorTickMark val="none"/>
        <c:tickLblPos val="nextTo"/>
        <c:crossAx val="181533312"/>
        <c:crosses val="autoZero"/>
        <c:auto val="1"/>
        <c:lblAlgn val="ctr"/>
        <c:lblOffset val="100"/>
        <c:noMultiLvlLbl val="0"/>
      </c:catAx>
      <c:valAx>
        <c:axId val="181533312"/>
        <c:scaling>
          <c:orientation val="minMax"/>
        </c:scaling>
        <c:delete val="0"/>
        <c:axPos val="l"/>
        <c:title>
          <c:tx>
            <c:rich>
              <a:bodyPr rot="-5400000" vert="horz"/>
              <a:lstStyle/>
              <a:p>
                <a:pPr>
                  <a:defRPr/>
                </a:pPr>
                <a:r>
                  <a:rPr lang="en-US"/>
                  <a:t>Soybean stover yield (kg/ha)</a:t>
                </a:r>
              </a:p>
            </c:rich>
          </c:tx>
          <c:overlay val="0"/>
        </c:title>
        <c:numFmt formatCode="General" sourceLinked="1"/>
        <c:majorTickMark val="out"/>
        <c:minorTickMark val="none"/>
        <c:tickLblPos val="nextTo"/>
        <c:crossAx val="181531776"/>
        <c:crosses val="autoZero"/>
        <c:crossBetween val="between"/>
      </c:valAx>
    </c:plotArea>
    <c:legend>
      <c:legendPos val="tr"/>
      <c:overlay val="1"/>
    </c:legend>
    <c:plotVisOnly val="1"/>
    <c:dispBlanksAs val="gap"/>
    <c:showDLblsOverMax val="0"/>
  </c:chart>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Analysis!$Z$67</c:f>
              <c:strCache>
                <c:ptCount val="1"/>
                <c:pt idx="0">
                  <c:v>not sprayed</c:v>
                </c:pt>
              </c:strCache>
            </c:strRef>
          </c:tx>
          <c:invertIfNegative val="0"/>
          <c:errBars>
            <c:errBarType val="both"/>
            <c:errValType val="cust"/>
            <c:noEndCap val="0"/>
            <c:plus>
              <c:numRef>
                <c:f>Analysis!$AF$68:$AF$78</c:f>
                <c:numCache>
                  <c:formatCode>General</c:formatCode>
                  <c:ptCount val="11"/>
                  <c:pt idx="0">
                    <c:v>2.3189727397926121</c:v>
                  </c:pt>
                  <c:pt idx="1">
                    <c:v>1.6262127478391539</c:v>
                  </c:pt>
                  <c:pt idx="2">
                    <c:v>1.3104725375241328</c:v>
                  </c:pt>
                  <c:pt idx="3">
                    <c:v>0.12619796324000893</c:v>
                  </c:pt>
                  <c:pt idx="4">
                    <c:v>0.44430136585847235</c:v>
                  </c:pt>
                  <c:pt idx="5">
                    <c:v>0.48167531710801798</c:v>
                  </c:pt>
                  <c:pt idx="6">
                    <c:v>2.0291225373557276</c:v>
                  </c:pt>
                  <c:pt idx="7">
                    <c:v>0.69235062122890489</c:v>
                  </c:pt>
                  <c:pt idx="8">
                    <c:v>0.22947067377653543</c:v>
                  </c:pt>
                  <c:pt idx="9">
                    <c:v>0.13166666666666876</c:v>
                  </c:pt>
                  <c:pt idx="10">
                    <c:v>0.10410701995993461</c:v>
                  </c:pt>
                </c:numCache>
              </c:numRef>
            </c:plus>
            <c:minus>
              <c:numRef>
                <c:f>Analysis!$AF$68:$AF$78</c:f>
                <c:numCache>
                  <c:formatCode>General</c:formatCode>
                  <c:ptCount val="11"/>
                  <c:pt idx="0">
                    <c:v>2.3189727397926121</c:v>
                  </c:pt>
                  <c:pt idx="1">
                    <c:v>1.6262127478391539</c:v>
                  </c:pt>
                  <c:pt idx="2">
                    <c:v>1.3104725375241328</c:v>
                  </c:pt>
                  <c:pt idx="3">
                    <c:v>0.12619796324000893</c:v>
                  </c:pt>
                  <c:pt idx="4">
                    <c:v>0.44430136585847235</c:v>
                  </c:pt>
                  <c:pt idx="5">
                    <c:v>0.48167531710801798</c:v>
                  </c:pt>
                  <c:pt idx="6">
                    <c:v>2.0291225373557276</c:v>
                  </c:pt>
                  <c:pt idx="7">
                    <c:v>0.69235062122890489</c:v>
                  </c:pt>
                  <c:pt idx="8">
                    <c:v>0.22947067377653543</c:v>
                  </c:pt>
                  <c:pt idx="9">
                    <c:v>0.13166666666666876</c:v>
                  </c:pt>
                  <c:pt idx="10">
                    <c:v>0.10410701995993461</c:v>
                  </c:pt>
                </c:numCache>
              </c:numRef>
            </c:minus>
          </c:errBars>
          <c:cat>
            <c:strRef>
              <c:f>Analysis!$Y$68:$Y$78</c:f>
              <c:strCache>
                <c:ptCount val="11"/>
                <c:pt idx="0">
                  <c:v>Maksoy</c:v>
                </c:pt>
                <c:pt idx="1">
                  <c:v>Namsoy</c:v>
                </c:pt>
                <c:pt idx="2">
                  <c:v>Nyala</c:v>
                </c:pt>
                <c:pt idx="3">
                  <c:v>S823-6-16</c:v>
                </c:pt>
                <c:pt idx="4">
                  <c:v>Saga</c:v>
                </c:pt>
                <c:pt idx="5">
                  <c:v>Samba</c:v>
                </c:pt>
                <c:pt idx="6">
                  <c:v>SB19</c:v>
                </c:pt>
                <c:pt idx="7">
                  <c:v>Sequel</c:v>
                </c:pt>
                <c:pt idx="8">
                  <c:v>Squire</c:v>
                </c:pt>
                <c:pt idx="9">
                  <c:v>TGx1987-62F</c:v>
                </c:pt>
                <c:pt idx="10">
                  <c:v>TGx1987-6F</c:v>
                </c:pt>
              </c:strCache>
            </c:strRef>
          </c:cat>
          <c:val>
            <c:numRef>
              <c:f>Analysis!$Z$68:$Z$78</c:f>
              <c:numCache>
                <c:formatCode>General</c:formatCode>
                <c:ptCount val="11"/>
                <c:pt idx="0">
                  <c:v>12.835555555555553</c:v>
                </c:pt>
                <c:pt idx="1">
                  <c:v>12.844444444444443</c:v>
                </c:pt>
                <c:pt idx="2">
                  <c:v>7.1355555555555554</c:v>
                </c:pt>
                <c:pt idx="3">
                  <c:v>2.4733333333333332</c:v>
                </c:pt>
                <c:pt idx="4">
                  <c:v>2.58</c:v>
                </c:pt>
                <c:pt idx="5">
                  <c:v>3.6133333333333333</c:v>
                </c:pt>
                <c:pt idx="6">
                  <c:v>9.1244444444444444</c:v>
                </c:pt>
                <c:pt idx="7">
                  <c:v>2.4155555555555552</c:v>
                </c:pt>
                <c:pt idx="8">
                  <c:v>2.4888888888888889</c:v>
                </c:pt>
                <c:pt idx="9">
                  <c:v>2.0649999999999999</c:v>
                </c:pt>
                <c:pt idx="10">
                  <c:v>1.6888888888888891</c:v>
                </c:pt>
              </c:numCache>
            </c:numRef>
          </c:val>
        </c:ser>
        <c:ser>
          <c:idx val="1"/>
          <c:order val="1"/>
          <c:tx>
            <c:strRef>
              <c:f>Analysis!$AA$67</c:f>
              <c:strCache>
                <c:ptCount val="1"/>
                <c:pt idx="0">
                  <c:v>sprayed</c:v>
                </c:pt>
              </c:strCache>
            </c:strRef>
          </c:tx>
          <c:invertIfNegative val="0"/>
          <c:errBars>
            <c:errBarType val="both"/>
            <c:errValType val="cust"/>
            <c:noEndCap val="0"/>
            <c:plus>
              <c:numRef>
                <c:f>Analysis!$AG$68:$AG$78</c:f>
                <c:numCache>
                  <c:formatCode>General</c:formatCode>
                  <c:ptCount val="11"/>
                  <c:pt idx="0">
                    <c:v>1.742328511496988</c:v>
                  </c:pt>
                  <c:pt idx="1">
                    <c:v>1.0320332323101782</c:v>
                  </c:pt>
                  <c:pt idx="2">
                    <c:v>0.15389189728306635</c:v>
                  </c:pt>
                  <c:pt idx="3">
                    <c:v>7.2860428047798936E-2</c:v>
                  </c:pt>
                  <c:pt idx="4">
                    <c:v>0.35115857625724145</c:v>
                  </c:pt>
                  <c:pt idx="5">
                    <c:v>5.1666666666679038E-2</c:v>
                  </c:pt>
                  <c:pt idx="6">
                    <c:v>0.92407778519257755</c:v>
                  </c:pt>
                  <c:pt idx="7">
                    <c:v>0.29748534562932177</c:v>
                  </c:pt>
                  <c:pt idx="8">
                    <c:v>0.14887645055838963</c:v>
                  </c:pt>
                  <c:pt idx="9">
                    <c:v>0.16196707484341835</c:v>
                  </c:pt>
                  <c:pt idx="10">
                    <c:v>0.19347057708481322</c:v>
                  </c:pt>
                </c:numCache>
              </c:numRef>
            </c:plus>
            <c:minus>
              <c:numRef>
                <c:f>Analysis!$AG$68:$AG$78</c:f>
                <c:numCache>
                  <c:formatCode>General</c:formatCode>
                  <c:ptCount val="11"/>
                  <c:pt idx="0">
                    <c:v>1.742328511496988</c:v>
                  </c:pt>
                  <c:pt idx="1">
                    <c:v>1.0320332323101782</c:v>
                  </c:pt>
                  <c:pt idx="2">
                    <c:v>0.15389189728306635</c:v>
                  </c:pt>
                  <c:pt idx="3">
                    <c:v>7.2860428047798936E-2</c:v>
                  </c:pt>
                  <c:pt idx="4">
                    <c:v>0.35115857625724145</c:v>
                  </c:pt>
                  <c:pt idx="5">
                    <c:v>5.1666666666679038E-2</c:v>
                  </c:pt>
                  <c:pt idx="6">
                    <c:v>0.92407778519257755</c:v>
                  </c:pt>
                  <c:pt idx="7">
                    <c:v>0.29748534562932177</c:v>
                  </c:pt>
                  <c:pt idx="8">
                    <c:v>0.14887645055838963</c:v>
                  </c:pt>
                  <c:pt idx="9">
                    <c:v>0.16196707484341835</c:v>
                  </c:pt>
                  <c:pt idx="10">
                    <c:v>0.19347057708481322</c:v>
                  </c:pt>
                </c:numCache>
              </c:numRef>
            </c:minus>
          </c:errBars>
          <c:cat>
            <c:strRef>
              <c:f>Analysis!$Y$68:$Y$78</c:f>
              <c:strCache>
                <c:ptCount val="11"/>
                <c:pt idx="0">
                  <c:v>Maksoy</c:v>
                </c:pt>
                <c:pt idx="1">
                  <c:v>Namsoy</c:v>
                </c:pt>
                <c:pt idx="2">
                  <c:v>Nyala</c:v>
                </c:pt>
                <c:pt idx="3">
                  <c:v>S823-6-16</c:v>
                </c:pt>
                <c:pt idx="4">
                  <c:v>Saga</c:v>
                </c:pt>
                <c:pt idx="5">
                  <c:v>Samba</c:v>
                </c:pt>
                <c:pt idx="6">
                  <c:v>SB19</c:v>
                </c:pt>
                <c:pt idx="7">
                  <c:v>Sequel</c:v>
                </c:pt>
                <c:pt idx="8">
                  <c:v>Squire</c:v>
                </c:pt>
                <c:pt idx="9">
                  <c:v>TGx1987-62F</c:v>
                </c:pt>
                <c:pt idx="10">
                  <c:v>TGx1987-6F</c:v>
                </c:pt>
              </c:strCache>
            </c:strRef>
          </c:cat>
          <c:val>
            <c:numRef>
              <c:f>Analysis!$AA$68:$AA$78</c:f>
              <c:numCache>
                <c:formatCode>General</c:formatCode>
                <c:ptCount val="11"/>
                <c:pt idx="0">
                  <c:v>6.8488888888888892</c:v>
                </c:pt>
                <c:pt idx="1">
                  <c:v>6.1499999999999995</c:v>
                </c:pt>
                <c:pt idx="2">
                  <c:v>3.094444444444445</c:v>
                </c:pt>
                <c:pt idx="3">
                  <c:v>2.2411111111111111</c:v>
                </c:pt>
                <c:pt idx="4">
                  <c:v>1.9344444444444442</c:v>
                </c:pt>
                <c:pt idx="5">
                  <c:v>2.4983333333333331</c:v>
                </c:pt>
                <c:pt idx="6">
                  <c:v>4.3388888888888886</c:v>
                </c:pt>
                <c:pt idx="7">
                  <c:v>2.0388888888888892</c:v>
                </c:pt>
                <c:pt idx="8">
                  <c:v>2.681111111111111</c:v>
                </c:pt>
                <c:pt idx="9">
                  <c:v>1.9000000000000001</c:v>
                </c:pt>
                <c:pt idx="10">
                  <c:v>1.337777777777778</c:v>
                </c:pt>
              </c:numCache>
            </c:numRef>
          </c:val>
        </c:ser>
        <c:dLbls>
          <c:showLegendKey val="0"/>
          <c:showVal val="0"/>
          <c:showCatName val="0"/>
          <c:showSerName val="0"/>
          <c:showPercent val="0"/>
          <c:showBubbleSize val="0"/>
        </c:dLbls>
        <c:gapWidth val="150"/>
        <c:axId val="181862784"/>
        <c:axId val="181864320"/>
      </c:barChart>
      <c:catAx>
        <c:axId val="181862784"/>
        <c:scaling>
          <c:orientation val="minMax"/>
        </c:scaling>
        <c:delete val="0"/>
        <c:axPos val="b"/>
        <c:majorTickMark val="out"/>
        <c:minorTickMark val="none"/>
        <c:tickLblPos val="nextTo"/>
        <c:crossAx val="181864320"/>
        <c:crosses val="autoZero"/>
        <c:auto val="1"/>
        <c:lblAlgn val="ctr"/>
        <c:lblOffset val="100"/>
        <c:noMultiLvlLbl val="0"/>
      </c:catAx>
      <c:valAx>
        <c:axId val="181864320"/>
        <c:scaling>
          <c:orientation val="minMax"/>
        </c:scaling>
        <c:delete val="0"/>
        <c:axPos val="l"/>
        <c:title>
          <c:tx>
            <c:rich>
              <a:bodyPr rot="-5400000" vert="horz"/>
              <a:lstStyle/>
              <a:p>
                <a:pPr>
                  <a:defRPr/>
                </a:pPr>
                <a:r>
                  <a:rPr lang="en-US"/>
                  <a:t>Soybean average rust score</a:t>
                </a:r>
              </a:p>
            </c:rich>
          </c:tx>
          <c:overlay val="0"/>
        </c:title>
        <c:numFmt formatCode="General" sourceLinked="1"/>
        <c:majorTickMark val="out"/>
        <c:minorTickMark val="none"/>
        <c:tickLblPos val="nextTo"/>
        <c:crossAx val="181862784"/>
        <c:crosses val="autoZero"/>
        <c:crossBetween val="between"/>
      </c:valAx>
    </c:plotArea>
    <c:legend>
      <c:legendPos val="tr"/>
      <c:layout>
        <c:manualLayout>
          <c:xMode val="edge"/>
          <c:yMode val="edge"/>
          <c:x val="0.81855621172353454"/>
          <c:y val="0"/>
          <c:w val="0.18144378827646543"/>
          <c:h val="0.16743438320209975"/>
        </c:manualLayout>
      </c:layout>
      <c:overlay val="1"/>
    </c:legend>
    <c:plotVisOnly val="1"/>
    <c:dispBlanksAs val="gap"/>
    <c:showDLblsOverMax val="0"/>
  </c:chart>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Analysis!$Z$23</c:f>
              <c:strCache>
                <c:ptCount val="1"/>
                <c:pt idx="0">
                  <c:v>not sprayed</c:v>
                </c:pt>
              </c:strCache>
            </c:strRef>
          </c:tx>
          <c:invertIfNegative val="0"/>
          <c:errBars>
            <c:errBarType val="both"/>
            <c:errValType val="cust"/>
            <c:noEndCap val="0"/>
            <c:plus>
              <c:numRef>
                <c:f>Analysis!$AF$24:$AF$34</c:f>
                <c:numCache>
                  <c:formatCode>General</c:formatCode>
                  <c:ptCount val="11"/>
                  <c:pt idx="0">
                    <c:v>0.19372884193514295</c:v>
                  </c:pt>
                  <c:pt idx="1">
                    <c:v>0.36675293120851915</c:v>
                  </c:pt>
                  <c:pt idx="2">
                    <c:v>0.5840471822645078</c:v>
                  </c:pt>
                  <c:pt idx="3">
                    <c:v>5.9605470146047543E-2</c:v>
                  </c:pt>
                  <c:pt idx="4">
                    <c:v>0</c:v>
                  </c:pt>
                  <c:pt idx="5">
                    <c:v>0.26190476190476042</c:v>
                  </c:pt>
                  <c:pt idx="6">
                    <c:v>0.26831970641868136</c:v>
                  </c:pt>
                  <c:pt idx="7">
                    <c:v>0.12018504251546587</c:v>
                  </c:pt>
                  <c:pt idx="8">
                    <c:v>0.40414518843273817</c:v>
                  </c:pt>
                  <c:pt idx="9">
                    <c:v>0.73611111111111205</c:v>
                  </c:pt>
                  <c:pt idx="10">
                    <c:v>0.30485328950286017</c:v>
                  </c:pt>
                </c:numCache>
              </c:numRef>
            </c:plus>
            <c:minus>
              <c:numRef>
                <c:f>Analysis!$AF$24:$AF$34</c:f>
                <c:numCache>
                  <c:formatCode>General</c:formatCode>
                  <c:ptCount val="11"/>
                  <c:pt idx="0">
                    <c:v>0.19372884193514295</c:v>
                  </c:pt>
                  <c:pt idx="1">
                    <c:v>0.36675293120851915</c:v>
                  </c:pt>
                  <c:pt idx="2">
                    <c:v>0.5840471822645078</c:v>
                  </c:pt>
                  <c:pt idx="3">
                    <c:v>5.9605470146047543E-2</c:v>
                  </c:pt>
                  <c:pt idx="4">
                    <c:v>0</c:v>
                  </c:pt>
                  <c:pt idx="5">
                    <c:v>0.26190476190476042</c:v>
                  </c:pt>
                  <c:pt idx="6">
                    <c:v>0.26831970641868136</c:v>
                  </c:pt>
                  <c:pt idx="7">
                    <c:v>0.12018504251546587</c:v>
                  </c:pt>
                  <c:pt idx="8">
                    <c:v>0.40414518843273817</c:v>
                  </c:pt>
                  <c:pt idx="9">
                    <c:v>0.73611111111111205</c:v>
                  </c:pt>
                  <c:pt idx="10">
                    <c:v>0.30485328950286017</c:v>
                  </c:pt>
                </c:numCache>
              </c:numRef>
            </c:minus>
          </c:errBars>
          <c:cat>
            <c:strRef>
              <c:f>Analysis!$Y$24:$Y$34</c:f>
              <c:strCache>
                <c:ptCount val="11"/>
                <c:pt idx="0">
                  <c:v>Maksoy</c:v>
                </c:pt>
                <c:pt idx="1">
                  <c:v>Namsoy</c:v>
                </c:pt>
                <c:pt idx="2">
                  <c:v>Nyala</c:v>
                </c:pt>
                <c:pt idx="3">
                  <c:v>S823-6-16</c:v>
                </c:pt>
                <c:pt idx="4">
                  <c:v>Saga</c:v>
                </c:pt>
                <c:pt idx="5">
                  <c:v>Samba</c:v>
                </c:pt>
                <c:pt idx="6">
                  <c:v>SB19</c:v>
                </c:pt>
                <c:pt idx="7">
                  <c:v>Sequel</c:v>
                </c:pt>
                <c:pt idx="8">
                  <c:v>Squire</c:v>
                </c:pt>
                <c:pt idx="9">
                  <c:v>TGx1987-62F</c:v>
                </c:pt>
                <c:pt idx="10">
                  <c:v>TGx1987-6F</c:v>
                </c:pt>
              </c:strCache>
            </c:strRef>
          </c:cat>
          <c:val>
            <c:numRef>
              <c:f>Analysis!$Z$24:$Z$34</c:f>
              <c:numCache>
                <c:formatCode>General</c:formatCode>
                <c:ptCount val="11"/>
                <c:pt idx="0">
                  <c:v>3.3555555555555556</c:v>
                </c:pt>
                <c:pt idx="1">
                  <c:v>2.8386243386243386</c:v>
                </c:pt>
                <c:pt idx="2">
                  <c:v>3.5333333333333332</c:v>
                </c:pt>
                <c:pt idx="3">
                  <c:v>3.4148148148148145</c:v>
                </c:pt>
                <c:pt idx="4">
                  <c:v>3.5</c:v>
                </c:pt>
                <c:pt idx="5">
                  <c:v>3.2380952380952386</c:v>
                </c:pt>
                <c:pt idx="6">
                  <c:v>2.9761904761904763</c:v>
                </c:pt>
                <c:pt idx="7">
                  <c:v>3.4333333333333336</c:v>
                </c:pt>
                <c:pt idx="8">
                  <c:v>2.8000000000000003</c:v>
                </c:pt>
                <c:pt idx="9">
                  <c:v>3.5138888888888888</c:v>
                </c:pt>
                <c:pt idx="10">
                  <c:v>4.0185185185185182</c:v>
                </c:pt>
              </c:numCache>
            </c:numRef>
          </c:val>
        </c:ser>
        <c:ser>
          <c:idx val="1"/>
          <c:order val="1"/>
          <c:tx>
            <c:strRef>
              <c:f>Analysis!$AA$23</c:f>
              <c:strCache>
                <c:ptCount val="1"/>
                <c:pt idx="0">
                  <c:v>sprayed</c:v>
                </c:pt>
              </c:strCache>
            </c:strRef>
          </c:tx>
          <c:invertIfNegative val="0"/>
          <c:errBars>
            <c:errBarType val="both"/>
            <c:errValType val="cust"/>
            <c:noEndCap val="0"/>
            <c:plus>
              <c:numRef>
                <c:f>Analysis!$AG$24:$AG$34</c:f>
                <c:numCache>
                  <c:formatCode>General</c:formatCode>
                  <c:ptCount val="11"/>
                  <c:pt idx="0">
                    <c:v>0.305505046330389</c:v>
                  </c:pt>
                  <c:pt idx="1">
                    <c:v>0.29059326290271087</c:v>
                  </c:pt>
                  <c:pt idx="2">
                    <c:v>0.589726867098472</c:v>
                  </c:pt>
                  <c:pt idx="3">
                    <c:v>0.14451419909994004</c:v>
                  </c:pt>
                  <c:pt idx="4">
                    <c:v>0.35118845842842511</c:v>
                  </c:pt>
                  <c:pt idx="5">
                    <c:v>2.777777777778883E-2</c:v>
                  </c:pt>
                  <c:pt idx="6">
                    <c:v>0.40262742521767453</c:v>
                  </c:pt>
                  <c:pt idx="7">
                    <c:v>0.12018504251547078</c:v>
                  </c:pt>
                  <c:pt idx="8">
                    <c:v>0.34801021696368672</c:v>
                  </c:pt>
                  <c:pt idx="9">
                    <c:v>8.2034473393162916E-2</c:v>
                  </c:pt>
                  <c:pt idx="10">
                    <c:v>0.37675515184857877</c:v>
                  </c:pt>
                </c:numCache>
              </c:numRef>
            </c:plus>
            <c:minus>
              <c:numRef>
                <c:f>Analysis!$AG$24:$AG$34</c:f>
                <c:numCache>
                  <c:formatCode>General</c:formatCode>
                  <c:ptCount val="11"/>
                  <c:pt idx="0">
                    <c:v>0.305505046330389</c:v>
                  </c:pt>
                  <c:pt idx="1">
                    <c:v>0.29059326290271087</c:v>
                  </c:pt>
                  <c:pt idx="2">
                    <c:v>0.589726867098472</c:v>
                  </c:pt>
                  <c:pt idx="3">
                    <c:v>0.14451419909994004</c:v>
                  </c:pt>
                  <c:pt idx="4">
                    <c:v>0.35118845842842511</c:v>
                  </c:pt>
                  <c:pt idx="5">
                    <c:v>2.777777777778883E-2</c:v>
                  </c:pt>
                  <c:pt idx="6">
                    <c:v>0.40262742521767453</c:v>
                  </c:pt>
                  <c:pt idx="7">
                    <c:v>0.12018504251547078</c:v>
                  </c:pt>
                  <c:pt idx="8">
                    <c:v>0.34801021696368672</c:v>
                  </c:pt>
                  <c:pt idx="9">
                    <c:v>8.2034473393162916E-2</c:v>
                  </c:pt>
                  <c:pt idx="10">
                    <c:v>0.37675515184857877</c:v>
                  </c:pt>
                </c:numCache>
              </c:numRef>
            </c:minus>
          </c:errBars>
          <c:cat>
            <c:strRef>
              <c:f>Analysis!$Y$24:$Y$34</c:f>
              <c:strCache>
                <c:ptCount val="11"/>
                <c:pt idx="0">
                  <c:v>Maksoy</c:v>
                </c:pt>
                <c:pt idx="1">
                  <c:v>Namsoy</c:v>
                </c:pt>
                <c:pt idx="2">
                  <c:v>Nyala</c:v>
                </c:pt>
                <c:pt idx="3">
                  <c:v>S823-6-16</c:v>
                </c:pt>
                <c:pt idx="4">
                  <c:v>Saga</c:v>
                </c:pt>
                <c:pt idx="5">
                  <c:v>Samba</c:v>
                </c:pt>
                <c:pt idx="6">
                  <c:v>SB19</c:v>
                </c:pt>
                <c:pt idx="7">
                  <c:v>Sequel</c:v>
                </c:pt>
                <c:pt idx="8">
                  <c:v>Squire</c:v>
                </c:pt>
                <c:pt idx="9">
                  <c:v>TGx1987-62F</c:v>
                </c:pt>
                <c:pt idx="10">
                  <c:v>TGx1987-6F</c:v>
                </c:pt>
              </c:strCache>
            </c:strRef>
          </c:cat>
          <c:val>
            <c:numRef>
              <c:f>Analysis!$AA$24:$AA$34</c:f>
              <c:numCache>
                <c:formatCode>General</c:formatCode>
                <c:ptCount val="11"/>
                <c:pt idx="0">
                  <c:v>3.1</c:v>
                </c:pt>
                <c:pt idx="1">
                  <c:v>2.9666666666666668</c:v>
                </c:pt>
                <c:pt idx="2">
                  <c:v>3.3666666666666667</c:v>
                </c:pt>
                <c:pt idx="3">
                  <c:v>3.4428571428571431</c:v>
                </c:pt>
                <c:pt idx="4">
                  <c:v>3.1999999999999997</c:v>
                </c:pt>
                <c:pt idx="5">
                  <c:v>3.4722222222222223</c:v>
                </c:pt>
                <c:pt idx="6">
                  <c:v>3.0857142857142859</c:v>
                </c:pt>
                <c:pt idx="7">
                  <c:v>3.7333333333333329</c:v>
                </c:pt>
                <c:pt idx="8">
                  <c:v>3.0666666666666664</c:v>
                </c:pt>
                <c:pt idx="9">
                  <c:v>3.2365079365079361</c:v>
                </c:pt>
                <c:pt idx="10">
                  <c:v>3.8166666666666664</c:v>
                </c:pt>
              </c:numCache>
            </c:numRef>
          </c:val>
        </c:ser>
        <c:dLbls>
          <c:showLegendKey val="0"/>
          <c:showVal val="0"/>
          <c:showCatName val="0"/>
          <c:showSerName val="0"/>
          <c:showPercent val="0"/>
          <c:showBubbleSize val="0"/>
        </c:dLbls>
        <c:gapWidth val="150"/>
        <c:axId val="181882240"/>
        <c:axId val="181896320"/>
      </c:barChart>
      <c:catAx>
        <c:axId val="181882240"/>
        <c:scaling>
          <c:orientation val="minMax"/>
        </c:scaling>
        <c:delete val="0"/>
        <c:axPos val="b"/>
        <c:majorTickMark val="out"/>
        <c:minorTickMark val="none"/>
        <c:tickLblPos val="nextTo"/>
        <c:crossAx val="181896320"/>
        <c:crosses val="autoZero"/>
        <c:auto val="1"/>
        <c:lblAlgn val="ctr"/>
        <c:lblOffset val="100"/>
        <c:noMultiLvlLbl val="0"/>
      </c:catAx>
      <c:valAx>
        <c:axId val="181896320"/>
        <c:scaling>
          <c:orientation val="minMax"/>
        </c:scaling>
        <c:delete val="0"/>
        <c:axPos val="l"/>
        <c:title>
          <c:tx>
            <c:rich>
              <a:bodyPr rot="-5400000" vert="horz"/>
              <a:lstStyle/>
              <a:p>
                <a:pPr>
                  <a:defRPr/>
                </a:pPr>
                <a:r>
                  <a:rPr lang="en-US"/>
                  <a:t>Soybean nodule score</a:t>
                </a:r>
              </a:p>
            </c:rich>
          </c:tx>
          <c:overlay val="0"/>
        </c:title>
        <c:numFmt formatCode="General" sourceLinked="1"/>
        <c:majorTickMark val="out"/>
        <c:minorTickMark val="none"/>
        <c:tickLblPos val="nextTo"/>
        <c:crossAx val="181882240"/>
        <c:crosses val="autoZero"/>
        <c:crossBetween val="between"/>
      </c:valAx>
    </c:plotArea>
    <c:legend>
      <c:legendPos val="tr"/>
      <c:layout>
        <c:manualLayout>
          <c:xMode val="edge"/>
          <c:yMode val="edge"/>
          <c:x val="0.81855621172353454"/>
          <c:y val="0"/>
          <c:w val="0.18144378827646543"/>
          <c:h val="0.13965660542432196"/>
        </c:manualLayout>
      </c:layout>
      <c:overlay val="1"/>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analysis!$AI$28</c:f>
              <c:strCache>
                <c:ptCount val="1"/>
                <c:pt idx="0">
                  <c:v> - inoc</c:v>
                </c:pt>
              </c:strCache>
            </c:strRef>
          </c:tx>
          <c:invertIfNegative val="0"/>
          <c:errBars>
            <c:errBarType val="both"/>
            <c:errValType val="cust"/>
            <c:noEndCap val="0"/>
            <c:plus>
              <c:numRef>
                <c:f>analysis!$AO$29:$AO$35</c:f>
                <c:numCache>
                  <c:formatCode>General</c:formatCode>
                  <c:ptCount val="7"/>
                  <c:pt idx="0">
                    <c:v>113.40347204990654</c:v>
                  </c:pt>
                  <c:pt idx="1">
                    <c:v>70.299956126138738</c:v>
                  </c:pt>
                  <c:pt idx="2">
                    <c:v>111.6816340228887</c:v>
                  </c:pt>
                  <c:pt idx="3">
                    <c:v>146.85805542422685</c:v>
                  </c:pt>
                  <c:pt idx="4">
                    <c:v>116.66545462163538</c:v>
                  </c:pt>
                  <c:pt idx="5">
                    <c:v>123.68191439130062</c:v>
                  </c:pt>
                  <c:pt idx="6">
                    <c:v>127.06131859079615</c:v>
                  </c:pt>
                </c:numCache>
              </c:numRef>
            </c:plus>
            <c:minus>
              <c:numRef>
                <c:f>analysis!$AO$29:$AO$35</c:f>
                <c:numCache>
                  <c:formatCode>General</c:formatCode>
                  <c:ptCount val="7"/>
                  <c:pt idx="0">
                    <c:v>113.40347204990654</c:v>
                  </c:pt>
                  <c:pt idx="1">
                    <c:v>70.299956126138738</c:v>
                  </c:pt>
                  <c:pt idx="2">
                    <c:v>111.6816340228887</c:v>
                  </c:pt>
                  <c:pt idx="3">
                    <c:v>146.85805542422685</c:v>
                  </c:pt>
                  <c:pt idx="4">
                    <c:v>116.66545462163538</c:v>
                  </c:pt>
                  <c:pt idx="5">
                    <c:v>123.68191439130062</c:v>
                  </c:pt>
                  <c:pt idx="6">
                    <c:v>127.06131859079615</c:v>
                  </c:pt>
                </c:numCache>
              </c:numRef>
            </c:minus>
          </c:errBars>
          <c:cat>
            <c:strRef>
              <c:f>analysis!$AH$29:$AH$35</c:f>
              <c:strCache>
                <c:ptCount val="7"/>
                <c:pt idx="0">
                  <c:v>NONE</c:v>
                </c:pt>
                <c:pt idx="1">
                  <c:v>DAP</c:v>
                </c:pt>
                <c:pt idx="2">
                  <c:v>MRP-DUST</c:v>
                </c:pt>
                <c:pt idx="3">
                  <c:v>MRP-PALLETS</c:v>
                </c:pt>
                <c:pt idx="4">
                  <c:v>TSP</c:v>
                </c:pt>
                <c:pt idx="5">
                  <c:v>TSP/KCL</c:v>
                </c:pt>
                <c:pt idx="6">
                  <c:v>SYMPAL</c:v>
                </c:pt>
              </c:strCache>
            </c:strRef>
          </c:cat>
          <c:val>
            <c:numRef>
              <c:f>analysis!$AI$29:$AI$35</c:f>
              <c:numCache>
                <c:formatCode>General</c:formatCode>
                <c:ptCount val="7"/>
                <c:pt idx="0">
                  <c:v>521.84970767215702</c:v>
                </c:pt>
                <c:pt idx="1">
                  <c:v>768.72675271520211</c:v>
                </c:pt>
                <c:pt idx="2">
                  <c:v>574.78141137425894</c:v>
                </c:pt>
                <c:pt idx="3">
                  <c:v>538.06054060408917</c:v>
                </c:pt>
                <c:pt idx="4">
                  <c:v>748.87043499847732</c:v>
                </c:pt>
                <c:pt idx="5">
                  <c:v>771.30084653244501</c:v>
                </c:pt>
                <c:pt idx="6">
                  <c:v>794.27078854524632</c:v>
                </c:pt>
              </c:numCache>
            </c:numRef>
          </c:val>
        </c:ser>
        <c:ser>
          <c:idx val="1"/>
          <c:order val="1"/>
          <c:tx>
            <c:strRef>
              <c:f>analysis!$AJ$28</c:f>
              <c:strCache>
                <c:ptCount val="1"/>
                <c:pt idx="0">
                  <c:v> + inoc</c:v>
                </c:pt>
              </c:strCache>
            </c:strRef>
          </c:tx>
          <c:invertIfNegative val="0"/>
          <c:errBars>
            <c:errBarType val="both"/>
            <c:errValType val="cust"/>
            <c:noEndCap val="0"/>
            <c:plus>
              <c:numRef>
                <c:f>analysis!$AP$29:$AP$35</c:f>
                <c:numCache>
                  <c:formatCode>General</c:formatCode>
                  <c:ptCount val="7"/>
                  <c:pt idx="0">
                    <c:v>65.08615337311744</c:v>
                  </c:pt>
                  <c:pt idx="1">
                    <c:v>72.402795842839495</c:v>
                  </c:pt>
                  <c:pt idx="2">
                    <c:v>68.48286670117362</c:v>
                  </c:pt>
                  <c:pt idx="3">
                    <c:v>122.38851627660219</c:v>
                  </c:pt>
                  <c:pt idx="4">
                    <c:v>116.92901742277306</c:v>
                  </c:pt>
                  <c:pt idx="5">
                    <c:v>67.20726666657896</c:v>
                  </c:pt>
                  <c:pt idx="6">
                    <c:v>78.88246221220723</c:v>
                  </c:pt>
                </c:numCache>
              </c:numRef>
            </c:plus>
            <c:minus>
              <c:numRef>
                <c:f>analysis!$AP$29:$AP$35</c:f>
                <c:numCache>
                  <c:formatCode>General</c:formatCode>
                  <c:ptCount val="7"/>
                  <c:pt idx="0">
                    <c:v>65.08615337311744</c:v>
                  </c:pt>
                  <c:pt idx="1">
                    <c:v>72.402795842839495</c:v>
                  </c:pt>
                  <c:pt idx="2">
                    <c:v>68.48286670117362</c:v>
                  </c:pt>
                  <c:pt idx="3">
                    <c:v>122.38851627660219</c:v>
                  </c:pt>
                  <c:pt idx="4">
                    <c:v>116.92901742277306</c:v>
                  </c:pt>
                  <c:pt idx="5">
                    <c:v>67.20726666657896</c:v>
                  </c:pt>
                  <c:pt idx="6">
                    <c:v>78.88246221220723</c:v>
                  </c:pt>
                </c:numCache>
              </c:numRef>
            </c:minus>
          </c:errBars>
          <c:cat>
            <c:strRef>
              <c:f>analysis!$AH$29:$AH$35</c:f>
              <c:strCache>
                <c:ptCount val="7"/>
                <c:pt idx="0">
                  <c:v>NONE</c:v>
                </c:pt>
                <c:pt idx="1">
                  <c:v>DAP</c:v>
                </c:pt>
                <c:pt idx="2">
                  <c:v>MRP-DUST</c:v>
                </c:pt>
                <c:pt idx="3">
                  <c:v>MRP-PALLETS</c:v>
                </c:pt>
                <c:pt idx="4">
                  <c:v>TSP</c:v>
                </c:pt>
                <c:pt idx="5">
                  <c:v>TSP/KCL</c:v>
                </c:pt>
                <c:pt idx="6">
                  <c:v>SYMPAL</c:v>
                </c:pt>
              </c:strCache>
            </c:strRef>
          </c:cat>
          <c:val>
            <c:numRef>
              <c:f>analysis!$AJ$29:$AJ$35</c:f>
              <c:numCache>
                <c:formatCode>General</c:formatCode>
                <c:ptCount val="7"/>
                <c:pt idx="0">
                  <c:v>396.40232916943131</c:v>
                </c:pt>
                <c:pt idx="1">
                  <c:v>714.88355234898461</c:v>
                </c:pt>
                <c:pt idx="2">
                  <c:v>667.80745621032804</c:v>
                </c:pt>
                <c:pt idx="3">
                  <c:v>565.40130570019915</c:v>
                </c:pt>
                <c:pt idx="4">
                  <c:v>635.03001207100033</c:v>
                </c:pt>
                <c:pt idx="5">
                  <c:v>738.74972407067435</c:v>
                </c:pt>
                <c:pt idx="6">
                  <c:v>748.25242881901158</c:v>
                </c:pt>
              </c:numCache>
            </c:numRef>
          </c:val>
        </c:ser>
        <c:dLbls>
          <c:showLegendKey val="0"/>
          <c:showVal val="0"/>
          <c:showCatName val="0"/>
          <c:showSerName val="0"/>
          <c:showPercent val="0"/>
          <c:showBubbleSize val="0"/>
        </c:dLbls>
        <c:gapWidth val="150"/>
        <c:axId val="177844608"/>
        <c:axId val="177846144"/>
      </c:barChart>
      <c:catAx>
        <c:axId val="177844608"/>
        <c:scaling>
          <c:orientation val="minMax"/>
        </c:scaling>
        <c:delete val="0"/>
        <c:axPos val="b"/>
        <c:numFmt formatCode="General" sourceLinked="1"/>
        <c:majorTickMark val="out"/>
        <c:minorTickMark val="none"/>
        <c:tickLblPos val="nextTo"/>
        <c:crossAx val="177846144"/>
        <c:crosses val="autoZero"/>
        <c:auto val="1"/>
        <c:lblAlgn val="ctr"/>
        <c:lblOffset val="100"/>
        <c:noMultiLvlLbl val="0"/>
      </c:catAx>
      <c:valAx>
        <c:axId val="177846144"/>
        <c:scaling>
          <c:orientation val="minMax"/>
        </c:scaling>
        <c:delete val="0"/>
        <c:axPos val="l"/>
        <c:title>
          <c:tx>
            <c:rich>
              <a:bodyPr rot="-5400000" vert="horz"/>
              <a:lstStyle/>
              <a:p>
                <a:pPr>
                  <a:defRPr/>
                </a:pPr>
                <a:r>
                  <a:rPr lang="en-US"/>
                  <a:t>Climbing bean grain yield (kg/ha)</a:t>
                </a:r>
              </a:p>
            </c:rich>
          </c:tx>
          <c:overlay val="0"/>
        </c:title>
        <c:numFmt formatCode="General" sourceLinked="1"/>
        <c:majorTickMark val="out"/>
        <c:minorTickMark val="none"/>
        <c:tickLblPos val="nextTo"/>
        <c:crossAx val="177844608"/>
        <c:crosses val="autoZero"/>
        <c:crossBetween val="between"/>
      </c:valAx>
    </c:plotArea>
    <c:legend>
      <c:legendPos val="tr"/>
      <c:layout>
        <c:manualLayout>
          <c:xMode val="edge"/>
          <c:yMode val="edge"/>
          <c:x val="0.87905664916885384"/>
          <c:y val="0"/>
          <c:w val="0.12094335083114616"/>
          <c:h val="0.12113808690580344"/>
        </c:manualLayout>
      </c:layout>
      <c:overlay val="1"/>
    </c:legend>
    <c:plotVisOnly val="1"/>
    <c:dispBlanksAs val="gap"/>
    <c:showDLblsOverMax val="0"/>
  </c:chart>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Analysis!$Z$38</c:f>
              <c:strCache>
                <c:ptCount val="1"/>
                <c:pt idx="0">
                  <c:v>not sprayed</c:v>
                </c:pt>
              </c:strCache>
            </c:strRef>
          </c:tx>
          <c:invertIfNegative val="0"/>
          <c:errBars>
            <c:errBarType val="both"/>
            <c:errValType val="cust"/>
            <c:noEndCap val="0"/>
            <c:plus>
              <c:numRef>
                <c:f>Analysis!$AF$39:$AF$49</c:f>
                <c:numCache>
                  <c:formatCode>General</c:formatCode>
                  <c:ptCount val="11"/>
                  <c:pt idx="0">
                    <c:v>250.54070404799566</c:v>
                  </c:pt>
                  <c:pt idx="1">
                    <c:v>212.40152977353586</c:v>
                  </c:pt>
                  <c:pt idx="2">
                    <c:v>452.14875629559958</c:v>
                  </c:pt>
                  <c:pt idx="3">
                    <c:v>247.02766843521806</c:v>
                  </c:pt>
                  <c:pt idx="4">
                    <c:v>261.85006937191656</c:v>
                  </c:pt>
                  <c:pt idx="5">
                    <c:v>156.3646516490461</c:v>
                  </c:pt>
                  <c:pt idx="6">
                    <c:v>194.07613451892456</c:v>
                  </c:pt>
                  <c:pt idx="7">
                    <c:v>132.8921958940235</c:v>
                  </c:pt>
                  <c:pt idx="8">
                    <c:v>254.92945189198159</c:v>
                  </c:pt>
                  <c:pt idx="9">
                    <c:v>855.47221300912452</c:v>
                  </c:pt>
                  <c:pt idx="10">
                    <c:v>117.91447944618582</c:v>
                  </c:pt>
                </c:numCache>
              </c:numRef>
            </c:plus>
            <c:minus>
              <c:numRef>
                <c:f>Analysis!$AF$39:$AF$49</c:f>
                <c:numCache>
                  <c:formatCode>General</c:formatCode>
                  <c:ptCount val="11"/>
                  <c:pt idx="0">
                    <c:v>250.54070404799566</c:v>
                  </c:pt>
                  <c:pt idx="1">
                    <c:v>212.40152977353586</c:v>
                  </c:pt>
                  <c:pt idx="2">
                    <c:v>452.14875629559958</c:v>
                  </c:pt>
                  <c:pt idx="3">
                    <c:v>247.02766843521806</c:v>
                  </c:pt>
                  <c:pt idx="4">
                    <c:v>261.85006937191656</c:v>
                  </c:pt>
                  <c:pt idx="5">
                    <c:v>156.3646516490461</c:v>
                  </c:pt>
                  <c:pt idx="6">
                    <c:v>194.07613451892456</c:v>
                  </c:pt>
                  <c:pt idx="7">
                    <c:v>132.8921958940235</c:v>
                  </c:pt>
                  <c:pt idx="8">
                    <c:v>254.92945189198159</c:v>
                  </c:pt>
                  <c:pt idx="9">
                    <c:v>855.47221300912452</c:v>
                  </c:pt>
                  <c:pt idx="10">
                    <c:v>117.91447944618582</c:v>
                  </c:pt>
                </c:numCache>
              </c:numRef>
            </c:minus>
          </c:errBars>
          <c:cat>
            <c:strRef>
              <c:f>Analysis!$Y$39:$Y$49</c:f>
              <c:strCache>
                <c:ptCount val="11"/>
                <c:pt idx="0">
                  <c:v>Maksoy</c:v>
                </c:pt>
                <c:pt idx="1">
                  <c:v>Namsoy</c:v>
                </c:pt>
                <c:pt idx="2">
                  <c:v>Nyala</c:v>
                </c:pt>
                <c:pt idx="3">
                  <c:v>S823-6-16</c:v>
                </c:pt>
                <c:pt idx="4">
                  <c:v>Saga</c:v>
                </c:pt>
                <c:pt idx="5">
                  <c:v>Samba</c:v>
                </c:pt>
                <c:pt idx="6">
                  <c:v>SB19</c:v>
                </c:pt>
                <c:pt idx="7">
                  <c:v>Sequel</c:v>
                </c:pt>
                <c:pt idx="8">
                  <c:v>Squire</c:v>
                </c:pt>
                <c:pt idx="9">
                  <c:v>TGx1987-62F</c:v>
                </c:pt>
                <c:pt idx="10">
                  <c:v>TGx1987-6F</c:v>
                </c:pt>
              </c:strCache>
            </c:strRef>
          </c:cat>
          <c:val>
            <c:numRef>
              <c:f>Analysis!$Z$39:$Z$49</c:f>
              <c:numCache>
                <c:formatCode>General</c:formatCode>
                <c:ptCount val="11"/>
                <c:pt idx="0">
                  <c:v>1765.3739152824485</c:v>
                </c:pt>
                <c:pt idx="1">
                  <c:v>987.61446643050442</c:v>
                </c:pt>
                <c:pt idx="2">
                  <c:v>2136.2493460113196</c:v>
                </c:pt>
                <c:pt idx="3">
                  <c:v>2009.6633913184257</c:v>
                </c:pt>
                <c:pt idx="4">
                  <c:v>1820.3901442490762</c:v>
                </c:pt>
                <c:pt idx="5">
                  <c:v>1262.1326388147843</c:v>
                </c:pt>
                <c:pt idx="6">
                  <c:v>1562.8722156739648</c:v>
                </c:pt>
                <c:pt idx="7">
                  <c:v>1417.555458969988</c:v>
                </c:pt>
                <c:pt idx="8">
                  <c:v>1763.1208185937082</c:v>
                </c:pt>
                <c:pt idx="9">
                  <c:v>2068.4824170907568</c:v>
                </c:pt>
                <c:pt idx="10">
                  <c:v>830.31425936163726</c:v>
                </c:pt>
              </c:numCache>
            </c:numRef>
          </c:val>
        </c:ser>
        <c:ser>
          <c:idx val="1"/>
          <c:order val="1"/>
          <c:tx>
            <c:strRef>
              <c:f>Analysis!$AA$38</c:f>
              <c:strCache>
                <c:ptCount val="1"/>
                <c:pt idx="0">
                  <c:v>sprayed</c:v>
                </c:pt>
              </c:strCache>
            </c:strRef>
          </c:tx>
          <c:invertIfNegative val="0"/>
          <c:errBars>
            <c:errBarType val="both"/>
            <c:errValType val="cust"/>
            <c:noEndCap val="0"/>
            <c:plus>
              <c:numRef>
                <c:f>Analysis!$AG$39:$AG$49</c:f>
                <c:numCache>
                  <c:formatCode>General</c:formatCode>
                  <c:ptCount val="11"/>
                  <c:pt idx="0">
                    <c:v>289.75993516859262</c:v>
                  </c:pt>
                  <c:pt idx="1">
                    <c:v>311.40880817881458</c:v>
                  </c:pt>
                  <c:pt idx="2">
                    <c:v>460.0455896770531</c:v>
                  </c:pt>
                  <c:pt idx="3">
                    <c:v>417.33985320645496</c:v>
                  </c:pt>
                  <c:pt idx="4">
                    <c:v>288.49864766332666</c:v>
                  </c:pt>
                  <c:pt idx="5">
                    <c:v>198.70978278621635</c:v>
                  </c:pt>
                  <c:pt idx="6">
                    <c:v>218.96889116630533</c:v>
                  </c:pt>
                  <c:pt idx="7">
                    <c:v>407.73212344207752</c:v>
                  </c:pt>
                  <c:pt idx="8">
                    <c:v>210.2074522561806</c:v>
                  </c:pt>
                  <c:pt idx="9">
                    <c:v>460.06088957250546</c:v>
                  </c:pt>
                  <c:pt idx="10">
                    <c:v>128.34911602704</c:v>
                  </c:pt>
                </c:numCache>
              </c:numRef>
            </c:plus>
            <c:minus>
              <c:numRef>
                <c:f>Analysis!$AG$39:$AG$49</c:f>
                <c:numCache>
                  <c:formatCode>General</c:formatCode>
                  <c:ptCount val="11"/>
                  <c:pt idx="0">
                    <c:v>289.75993516859262</c:v>
                  </c:pt>
                  <c:pt idx="1">
                    <c:v>311.40880817881458</c:v>
                  </c:pt>
                  <c:pt idx="2">
                    <c:v>460.0455896770531</c:v>
                  </c:pt>
                  <c:pt idx="3">
                    <c:v>417.33985320645496</c:v>
                  </c:pt>
                  <c:pt idx="4">
                    <c:v>288.49864766332666</c:v>
                  </c:pt>
                  <c:pt idx="5">
                    <c:v>198.70978278621635</c:v>
                  </c:pt>
                  <c:pt idx="6">
                    <c:v>218.96889116630533</c:v>
                  </c:pt>
                  <c:pt idx="7">
                    <c:v>407.73212344207752</c:v>
                  </c:pt>
                  <c:pt idx="8">
                    <c:v>210.2074522561806</c:v>
                  </c:pt>
                  <c:pt idx="9">
                    <c:v>460.06088957250546</c:v>
                  </c:pt>
                  <c:pt idx="10">
                    <c:v>128.34911602704</c:v>
                  </c:pt>
                </c:numCache>
              </c:numRef>
            </c:minus>
          </c:errBars>
          <c:cat>
            <c:strRef>
              <c:f>Analysis!$Y$39:$Y$49</c:f>
              <c:strCache>
                <c:ptCount val="11"/>
                <c:pt idx="0">
                  <c:v>Maksoy</c:v>
                </c:pt>
                <c:pt idx="1">
                  <c:v>Namsoy</c:v>
                </c:pt>
                <c:pt idx="2">
                  <c:v>Nyala</c:v>
                </c:pt>
                <c:pt idx="3">
                  <c:v>S823-6-16</c:v>
                </c:pt>
                <c:pt idx="4">
                  <c:v>Saga</c:v>
                </c:pt>
                <c:pt idx="5">
                  <c:v>Samba</c:v>
                </c:pt>
                <c:pt idx="6">
                  <c:v>SB19</c:v>
                </c:pt>
                <c:pt idx="7">
                  <c:v>Sequel</c:v>
                </c:pt>
                <c:pt idx="8">
                  <c:v>Squire</c:v>
                </c:pt>
                <c:pt idx="9">
                  <c:v>TGx1987-62F</c:v>
                </c:pt>
                <c:pt idx="10">
                  <c:v>TGx1987-6F</c:v>
                </c:pt>
              </c:strCache>
            </c:strRef>
          </c:cat>
          <c:val>
            <c:numRef>
              <c:f>Analysis!$AA$39:$AA$49</c:f>
              <c:numCache>
                <c:formatCode>General</c:formatCode>
                <c:ptCount val="11"/>
                <c:pt idx="0">
                  <c:v>1884.4100868557289</c:v>
                </c:pt>
                <c:pt idx="1">
                  <c:v>1159.6536126544095</c:v>
                </c:pt>
                <c:pt idx="2">
                  <c:v>2616.6637161090089</c:v>
                </c:pt>
                <c:pt idx="3">
                  <c:v>1814.9165394583131</c:v>
                </c:pt>
                <c:pt idx="4">
                  <c:v>1669.386981339381</c:v>
                </c:pt>
                <c:pt idx="5">
                  <c:v>990.1014060249729</c:v>
                </c:pt>
                <c:pt idx="6">
                  <c:v>1786.1033608450377</c:v>
                </c:pt>
                <c:pt idx="7">
                  <c:v>1472.244812895143</c:v>
                </c:pt>
                <c:pt idx="8">
                  <c:v>1568.9070439872637</c:v>
                </c:pt>
                <c:pt idx="9">
                  <c:v>1361.3408529717537</c:v>
                </c:pt>
                <c:pt idx="10">
                  <c:v>734.95921703205204</c:v>
                </c:pt>
              </c:numCache>
            </c:numRef>
          </c:val>
        </c:ser>
        <c:dLbls>
          <c:showLegendKey val="0"/>
          <c:showVal val="0"/>
          <c:showCatName val="0"/>
          <c:showSerName val="0"/>
          <c:showPercent val="0"/>
          <c:showBubbleSize val="0"/>
        </c:dLbls>
        <c:gapWidth val="150"/>
        <c:axId val="181914240"/>
        <c:axId val="181916032"/>
      </c:barChart>
      <c:catAx>
        <c:axId val="181914240"/>
        <c:scaling>
          <c:orientation val="minMax"/>
        </c:scaling>
        <c:delete val="0"/>
        <c:axPos val="b"/>
        <c:majorTickMark val="out"/>
        <c:minorTickMark val="none"/>
        <c:tickLblPos val="nextTo"/>
        <c:crossAx val="181916032"/>
        <c:crosses val="autoZero"/>
        <c:auto val="1"/>
        <c:lblAlgn val="ctr"/>
        <c:lblOffset val="100"/>
        <c:noMultiLvlLbl val="0"/>
      </c:catAx>
      <c:valAx>
        <c:axId val="181916032"/>
        <c:scaling>
          <c:orientation val="minMax"/>
        </c:scaling>
        <c:delete val="0"/>
        <c:axPos val="l"/>
        <c:title>
          <c:tx>
            <c:rich>
              <a:bodyPr rot="-5400000" vert="horz"/>
              <a:lstStyle/>
              <a:p>
                <a:pPr>
                  <a:defRPr/>
                </a:pPr>
                <a:r>
                  <a:rPr lang="en-US"/>
                  <a:t>Soybean grain yield (kg/ha)</a:t>
                </a:r>
              </a:p>
            </c:rich>
          </c:tx>
          <c:overlay val="0"/>
        </c:title>
        <c:numFmt formatCode="General" sourceLinked="1"/>
        <c:majorTickMark val="out"/>
        <c:minorTickMark val="none"/>
        <c:tickLblPos val="nextTo"/>
        <c:crossAx val="181914240"/>
        <c:crosses val="autoZero"/>
        <c:crossBetween val="between"/>
      </c:valAx>
    </c:plotArea>
    <c:legend>
      <c:legendPos val="tr"/>
      <c:layout>
        <c:manualLayout>
          <c:xMode val="edge"/>
          <c:yMode val="edge"/>
          <c:x val="0.81855621172353454"/>
          <c:y val="0"/>
          <c:w val="0.18144378827646543"/>
          <c:h val="0.13502697579469233"/>
        </c:manualLayout>
      </c:layout>
      <c:overlay val="1"/>
    </c:legend>
    <c:plotVisOnly val="1"/>
    <c:dispBlanksAs val="gap"/>
    <c:showDLblsOverMax val="0"/>
  </c:chart>
  <c:externalData r:id="rId1">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Analysis!$Z$53</c:f>
              <c:strCache>
                <c:ptCount val="1"/>
                <c:pt idx="0">
                  <c:v>not sprayed</c:v>
                </c:pt>
              </c:strCache>
            </c:strRef>
          </c:tx>
          <c:invertIfNegative val="0"/>
          <c:errBars>
            <c:errBarType val="both"/>
            <c:errValType val="cust"/>
            <c:noEndCap val="0"/>
            <c:plus>
              <c:numRef>
                <c:f>Analysis!$AF$54:$AF$64</c:f>
                <c:numCache>
                  <c:formatCode>General</c:formatCode>
                  <c:ptCount val="11"/>
                  <c:pt idx="0">
                    <c:v>217.38996401819864</c:v>
                  </c:pt>
                  <c:pt idx="1">
                    <c:v>536.74015151956144</c:v>
                  </c:pt>
                  <c:pt idx="2">
                    <c:v>649.57468431268808</c:v>
                  </c:pt>
                  <c:pt idx="3">
                    <c:v>391.15773073156493</c:v>
                  </c:pt>
                  <c:pt idx="4">
                    <c:v>89.109102328516471</c:v>
                  </c:pt>
                  <c:pt idx="5">
                    <c:v>198.34742612324192</c:v>
                  </c:pt>
                  <c:pt idx="6">
                    <c:v>187.51651655654985</c:v>
                  </c:pt>
                  <c:pt idx="7">
                    <c:v>165.38109915311907</c:v>
                  </c:pt>
                  <c:pt idx="8">
                    <c:v>160.65508227643494</c:v>
                  </c:pt>
                  <c:pt idx="9">
                    <c:v>981.95178275622834</c:v>
                  </c:pt>
                  <c:pt idx="10">
                    <c:v>228.06618853094039</c:v>
                  </c:pt>
                </c:numCache>
              </c:numRef>
            </c:plus>
            <c:minus>
              <c:numRef>
                <c:f>Analysis!$AF$54:$AF$64</c:f>
                <c:numCache>
                  <c:formatCode>General</c:formatCode>
                  <c:ptCount val="11"/>
                  <c:pt idx="0">
                    <c:v>217.38996401819864</c:v>
                  </c:pt>
                  <c:pt idx="1">
                    <c:v>536.74015151956144</c:v>
                  </c:pt>
                  <c:pt idx="2">
                    <c:v>649.57468431268808</c:v>
                  </c:pt>
                  <c:pt idx="3">
                    <c:v>391.15773073156493</c:v>
                  </c:pt>
                  <c:pt idx="4">
                    <c:v>89.109102328516471</c:v>
                  </c:pt>
                  <c:pt idx="5">
                    <c:v>198.34742612324192</c:v>
                  </c:pt>
                  <c:pt idx="6">
                    <c:v>187.51651655654985</c:v>
                  </c:pt>
                  <c:pt idx="7">
                    <c:v>165.38109915311907</c:v>
                  </c:pt>
                  <c:pt idx="8">
                    <c:v>160.65508227643494</c:v>
                  </c:pt>
                  <c:pt idx="9">
                    <c:v>981.95178275622834</c:v>
                  </c:pt>
                  <c:pt idx="10">
                    <c:v>228.06618853094039</c:v>
                  </c:pt>
                </c:numCache>
              </c:numRef>
            </c:minus>
          </c:errBars>
          <c:cat>
            <c:strRef>
              <c:f>Analysis!$Y$54:$Y$64</c:f>
              <c:strCache>
                <c:ptCount val="11"/>
                <c:pt idx="0">
                  <c:v>Maksoy</c:v>
                </c:pt>
                <c:pt idx="1">
                  <c:v>Namsoy</c:v>
                </c:pt>
                <c:pt idx="2">
                  <c:v>Nyala</c:v>
                </c:pt>
                <c:pt idx="3">
                  <c:v>S823-6-16</c:v>
                </c:pt>
                <c:pt idx="4">
                  <c:v>Saga</c:v>
                </c:pt>
                <c:pt idx="5">
                  <c:v>Samba</c:v>
                </c:pt>
                <c:pt idx="6">
                  <c:v>SB19</c:v>
                </c:pt>
                <c:pt idx="7">
                  <c:v>Sequel</c:v>
                </c:pt>
                <c:pt idx="8">
                  <c:v>Squire</c:v>
                </c:pt>
                <c:pt idx="9">
                  <c:v>TGx1987-62F</c:v>
                </c:pt>
                <c:pt idx="10">
                  <c:v>TGx1987-6F</c:v>
                </c:pt>
              </c:strCache>
            </c:strRef>
          </c:cat>
          <c:val>
            <c:numRef>
              <c:f>Analysis!$Z$54:$Z$64</c:f>
              <c:numCache>
                <c:formatCode>General</c:formatCode>
                <c:ptCount val="11"/>
                <c:pt idx="0">
                  <c:v>2785.9888210507434</c:v>
                </c:pt>
                <c:pt idx="1">
                  <c:v>2713.0567255030883</c:v>
                </c:pt>
                <c:pt idx="2">
                  <c:v>2212.9992067305639</c:v>
                </c:pt>
                <c:pt idx="3">
                  <c:v>2280.1007960431393</c:v>
                </c:pt>
                <c:pt idx="4">
                  <c:v>1818.8545015943837</c:v>
                </c:pt>
                <c:pt idx="5">
                  <c:v>2037.2874485333568</c:v>
                </c:pt>
                <c:pt idx="6">
                  <c:v>1949.4933110868035</c:v>
                </c:pt>
                <c:pt idx="7">
                  <c:v>1615.8065567099404</c:v>
                </c:pt>
                <c:pt idx="8">
                  <c:v>2163.8394322521858</c:v>
                </c:pt>
                <c:pt idx="9">
                  <c:v>3067.4250160923202</c:v>
                </c:pt>
                <c:pt idx="10">
                  <c:v>2571.4442235517131</c:v>
                </c:pt>
              </c:numCache>
            </c:numRef>
          </c:val>
        </c:ser>
        <c:ser>
          <c:idx val="1"/>
          <c:order val="1"/>
          <c:tx>
            <c:strRef>
              <c:f>Analysis!$AA$53</c:f>
              <c:strCache>
                <c:ptCount val="1"/>
                <c:pt idx="0">
                  <c:v>sprayed</c:v>
                </c:pt>
              </c:strCache>
            </c:strRef>
          </c:tx>
          <c:invertIfNegative val="0"/>
          <c:errBars>
            <c:errBarType val="both"/>
            <c:errValType val="cust"/>
            <c:noEndCap val="0"/>
            <c:plus>
              <c:numRef>
                <c:f>Analysis!$AG$54:$AG$64</c:f>
                <c:numCache>
                  <c:formatCode>General</c:formatCode>
                  <c:ptCount val="11"/>
                  <c:pt idx="0">
                    <c:v>381.4953672122291</c:v>
                  </c:pt>
                  <c:pt idx="1">
                    <c:v>738.07095463213932</c:v>
                  </c:pt>
                  <c:pt idx="2">
                    <c:v>552.96028189631863</c:v>
                  </c:pt>
                  <c:pt idx="3">
                    <c:v>303.20095889362381</c:v>
                  </c:pt>
                  <c:pt idx="4">
                    <c:v>71.826409240257405</c:v>
                  </c:pt>
                  <c:pt idx="5">
                    <c:v>314.22421195374579</c:v>
                  </c:pt>
                  <c:pt idx="6">
                    <c:v>286.62027498792349</c:v>
                  </c:pt>
                  <c:pt idx="7">
                    <c:v>384.98365528750014</c:v>
                  </c:pt>
                  <c:pt idx="8">
                    <c:v>187.95914640831077</c:v>
                  </c:pt>
                  <c:pt idx="9">
                    <c:v>735.74758200465953</c:v>
                  </c:pt>
                  <c:pt idx="10">
                    <c:v>379.79656377500817</c:v>
                  </c:pt>
                </c:numCache>
              </c:numRef>
            </c:plus>
            <c:minus>
              <c:numRef>
                <c:f>Analysis!$AG$54:$AG$64</c:f>
                <c:numCache>
                  <c:formatCode>General</c:formatCode>
                  <c:ptCount val="11"/>
                  <c:pt idx="0">
                    <c:v>381.4953672122291</c:v>
                  </c:pt>
                  <c:pt idx="1">
                    <c:v>738.07095463213932</c:v>
                  </c:pt>
                  <c:pt idx="2">
                    <c:v>552.96028189631863</c:v>
                  </c:pt>
                  <c:pt idx="3">
                    <c:v>303.20095889362381</c:v>
                  </c:pt>
                  <c:pt idx="4">
                    <c:v>71.826409240257405</c:v>
                  </c:pt>
                  <c:pt idx="5">
                    <c:v>314.22421195374579</c:v>
                  </c:pt>
                  <c:pt idx="6">
                    <c:v>286.62027498792349</c:v>
                  </c:pt>
                  <c:pt idx="7">
                    <c:v>384.98365528750014</c:v>
                  </c:pt>
                  <c:pt idx="8">
                    <c:v>187.95914640831077</c:v>
                  </c:pt>
                  <c:pt idx="9">
                    <c:v>735.74758200465953</c:v>
                  </c:pt>
                  <c:pt idx="10">
                    <c:v>379.79656377500817</c:v>
                  </c:pt>
                </c:numCache>
              </c:numRef>
            </c:minus>
          </c:errBars>
          <c:cat>
            <c:strRef>
              <c:f>Analysis!$Y$54:$Y$64</c:f>
              <c:strCache>
                <c:ptCount val="11"/>
                <c:pt idx="0">
                  <c:v>Maksoy</c:v>
                </c:pt>
                <c:pt idx="1">
                  <c:v>Namsoy</c:v>
                </c:pt>
                <c:pt idx="2">
                  <c:v>Nyala</c:v>
                </c:pt>
                <c:pt idx="3">
                  <c:v>S823-6-16</c:v>
                </c:pt>
                <c:pt idx="4">
                  <c:v>Saga</c:v>
                </c:pt>
                <c:pt idx="5">
                  <c:v>Samba</c:v>
                </c:pt>
                <c:pt idx="6">
                  <c:v>SB19</c:v>
                </c:pt>
                <c:pt idx="7">
                  <c:v>Sequel</c:v>
                </c:pt>
                <c:pt idx="8">
                  <c:v>Squire</c:v>
                </c:pt>
                <c:pt idx="9">
                  <c:v>TGx1987-62F</c:v>
                </c:pt>
                <c:pt idx="10">
                  <c:v>TGx1987-6F</c:v>
                </c:pt>
              </c:strCache>
            </c:strRef>
          </c:cat>
          <c:val>
            <c:numRef>
              <c:f>Analysis!$AA$54:$AA$64</c:f>
              <c:numCache>
                <c:formatCode>General</c:formatCode>
                <c:ptCount val="11"/>
                <c:pt idx="0">
                  <c:v>3216.6829379721471</c:v>
                </c:pt>
                <c:pt idx="1">
                  <c:v>3740.8756365966869</c:v>
                </c:pt>
                <c:pt idx="2">
                  <c:v>2288.7392162338169</c:v>
                </c:pt>
                <c:pt idx="3">
                  <c:v>2020.4031687300305</c:v>
                </c:pt>
                <c:pt idx="4">
                  <c:v>2091.5822363702814</c:v>
                </c:pt>
                <c:pt idx="5">
                  <c:v>2138.9393122379115</c:v>
                </c:pt>
                <c:pt idx="6">
                  <c:v>2384.3953328824191</c:v>
                </c:pt>
                <c:pt idx="7">
                  <c:v>1631.6049077898942</c:v>
                </c:pt>
                <c:pt idx="8">
                  <c:v>2420.4613670004092</c:v>
                </c:pt>
                <c:pt idx="9">
                  <c:v>2500.9980228779132</c:v>
                </c:pt>
                <c:pt idx="10">
                  <c:v>2908.8424913408071</c:v>
                </c:pt>
              </c:numCache>
            </c:numRef>
          </c:val>
        </c:ser>
        <c:dLbls>
          <c:showLegendKey val="0"/>
          <c:showVal val="0"/>
          <c:showCatName val="0"/>
          <c:showSerName val="0"/>
          <c:showPercent val="0"/>
          <c:showBubbleSize val="0"/>
        </c:dLbls>
        <c:gapWidth val="150"/>
        <c:axId val="182511488"/>
        <c:axId val="182513024"/>
      </c:barChart>
      <c:catAx>
        <c:axId val="182511488"/>
        <c:scaling>
          <c:orientation val="minMax"/>
        </c:scaling>
        <c:delete val="0"/>
        <c:axPos val="b"/>
        <c:majorTickMark val="out"/>
        <c:minorTickMark val="none"/>
        <c:tickLblPos val="nextTo"/>
        <c:crossAx val="182513024"/>
        <c:crosses val="autoZero"/>
        <c:auto val="1"/>
        <c:lblAlgn val="ctr"/>
        <c:lblOffset val="100"/>
        <c:noMultiLvlLbl val="0"/>
      </c:catAx>
      <c:valAx>
        <c:axId val="182513024"/>
        <c:scaling>
          <c:orientation val="minMax"/>
        </c:scaling>
        <c:delete val="0"/>
        <c:axPos val="l"/>
        <c:title>
          <c:tx>
            <c:rich>
              <a:bodyPr rot="-5400000" vert="horz"/>
              <a:lstStyle/>
              <a:p>
                <a:pPr>
                  <a:defRPr/>
                </a:pPr>
                <a:r>
                  <a:rPr lang="en-US"/>
                  <a:t>Soybean stover yield (kg/ha)</a:t>
                </a:r>
              </a:p>
            </c:rich>
          </c:tx>
          <c:overlay val="0"/>
        </c:title>
        <c:numFmt formatCode="General" sourceLinked="1"/>
        <c:majorTickMark val="out"/>
        <c:minorTickMark val="none"/>
        <c:tickLblPos val="nextTo"/>
        <c:crossAx val="182511488"/>
        <c:crosses val="autoZero"/>
        <c:crossBetween val="between"/>
      </c:valAx>
    </c:plotArea>
    <c:legend>
      <c:legendPos val="tr"/>
      <c:layout>
        <c:manualLayout>
          <c:xMode val="edge"/>
          <c:yMode val="edge"/>
          <c:x val="0.81855621172353454"/>
          <c:y val="0"/>
          <c:w val="0.18144378827646543"/>
          <c:h val="0.13039734616506271"/>
        </c:manualLayout>
      </c:layout>
      <c:overlay val="1"/>
    </c:legend>
    <c:plotVisOnly val="1"/>
    <c:dispBlanksAs val="gap"/>
    <c:showDLblsOverMax val="0"/>
  </c:chart>
  <c:externalData r:id="rId1">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Analysis!$Y$65</c:f>
              <c:strCache>
                <c:ptCount val="1"/>
                <c:pt idx="0">
                  <c:v>not sprayed</c:v>
                </c:pt>
              </c:strCache>
            </c:strRef>
          </c:tx>
          <c:invertIfNegative val="0"/>
          <c:errBars>
            <c:errBarType val="both"/>
            <c:errValType val="cust"/>
            <c:noEndCap val="0"/>
            <c:plus>
              <c:numRef>
                <c:f>Analysis!$AE$66:$AE$76</c:f>
                <c:numCache>
                  <c:formatCode>General</c:formatCode>
                  <c:ptCount val="11"/>
                  <c:pt idx="0">
                    <c:v>1.4296788036064172</c:v>
                  </c:pt>
                  <c:pt idx="1">
                    <c:v>0.37667158305543003</c:v>
                  </c:pt>
                  <c:pt idx="2">
                    <c:v>0.44067848922337555</c:v>
                  </c:pt>
                  <c:pt idx="3">
                    <c:v>0.36003950400538626</c:v>
                  </c:pt>
                  <c:pt idx="4">
                    <c:v>0.13531855420122954</c:v>
                  </c:pt>
                  <c:pt idx="5">
                    <c:v>0.40179458543998464</c:v>
                  </c:pt>
                  <c:pt idx="6">
                    <c:v>0.58909849519162394</c:v>
                  </c:pt>
                  <c:pt idx="7">
                    <c:v>0.20443236679301222</c:v>
                  </c:pt>
                  <c:pt idx="8">
                    <c:v>0.2036912454102785</c:v>
                  </c:pt>
                  <c:pt idx="9">
                    <c:v>0.10103782447830423</c:v>
                  </c:pt>
                  <c:pt idx="10">
                    <c:v>0.16843872754883787</c:v>
                  </c:pt>
                </c:numCache>
              </c:numRef>
            </c:plus>
            <c:minus>
              <c:numRef>
                <c:f>Analysis!$AE$66:$AE$76</c:f>
                <c:numCache>
                  <c:formatCode>General</c:formatCode>
                  <c:ptCount val="11"/>
                  <c:pt idx="0">
                    <c:v>1.4296788036064172</c:v>
                  </c:pt>
                  <c:pt idx="1">
                    <c:v>0.37667158305543003</c:v>
                  </c:pt>
                  <c:pt idx="2">
                    <c:v>0.44067848922337555</c:v>
                  </c:pt>
                  <c:pt idx="3">
                    <c:v>0.36003950400538626</c:v>
                  </c:pt>
                  <c:pt idx="4">
                    <c:v>0.13531855420122954</c:v>
                  </c:pt>
                  <c:pt idx="5">
                    <c:v>0.40179458543998464</c:v>
                  </c:pt>
                  <c:pt idx="6">
                    <c:v>0.58909849519162394</c:v>
                  </c:pt>
                  <c:pt idx="7">
                    <c:v>0.20443236679301222</c:v>
                  </c:pt>
                  <c:pt idx="8">
                    <c:v>0.2036912454102785</c:v>
                  </c:pt>
                  <c:pt idx="9">
                    <c:v>0.10103782447830423</c:v>
                  </c:pt>
                  <c:pt idx="10">
                    <c:v>0.16843872754883787</c:v>
                  </c:pt>
                </c:numCache>
              </c:numRef>
            </c:minus>
          </c:errBars>
          <c:cat>
            <c:strRef>
              <c:f>Analysis!$X$66:$X$76</c:f>
              <c:strCache>
                <c:ptCount val="11"/>
                <c:pt idx="0">
                  <c:v>Maksoy</c:v>
                </c:pt>
                <c:pt idx="1">
                  <c:v>Namsoy</c:v>
                </c:pt>
                <c:pt idx="2">
                  <c:v>Nyala</c:v>
                </c:pt>
                <c:pt idx="3">
                  <c:v>S823-6-16</c:v>
                </c:pt>
                <c:pt idx="4">
                  <c:v>Saga</c:v>
                </c:pt>
                <c:pt idx="5">
                  <c:v>Samba</c:v>
                </c:pt>
                <c:pt idx="6">
                  <c:v>SB 19</c:v>
                </c:pt>
                <c:pt idx="7">
                  <c:v>Sequel</c:v>
                </c:pt>
                <c:pt idx="8">
                  <c:v>Squire</c:v>
                </c:pt>
                <c:pt idx="9">
                  <c:v>TGx1987-62F</c:v>
                </c:pt>
                <c:pt idx="10">
                  <c:v>TGx1987-6F</c:v>
                </c:pt>
              </c:strCache>
            </c:strRef>
          </c:cat>
          <c:val>
            <c:numRef>
              <c:f>Analysis!$Y$66:$Y$76</c:f>
              <c:numCache>
                <c:formatCode>General</c:formatCode>
                <c:ptCount val="11"/>
                <c:pt idx="0">
                  <c:v>6.916666666666667</c:v>
                </c:pt>
                <c:pt idx="1">
                  <c:v>5.4466666666666663</c:v>
                </c:pt>
                <c:pt idx="2">
                  <c:v>4.7555555555555555</c:v>
                </c:pt>
                <c:pt idx="3">
                  <c:v>2.0219999999999998</c:v>
                </c:pt>
                <c:pt idx="4">
                  <c:v>1.0233333333333334</c:v>
                </c:pt>
                <c:pt idx="5">
                  <c:v>1.6266666666666665</c:v>
                </c:pt>
                <c:pt idx="6">
                  <c:v>5.0666666666666664</c:v>
                </c:pt>
                <c:pt idx="7">
                  <c:v>1.1733333333333333</c:v>
                </c:pt>
                <c:pt idx="8">
                  <c:v>1.0844444444444443</c:v>
                </c:pt>
                <c:pt idx="9">
                  <c:v>0.6677777777777778</c:v>
                </c:pt>
                <c:pt idx="10">
                  <c:v>0.81444444444444442</c:v>
                </c:pt>
              </c:numCache>
            </c:numRef>
          </c:val>
        </c:ser>
        <c:ser>
          <c:idx val="1"/>
          <c:order val="1"/>
          <c:tx>
            <c:strRef>
              <c:f>Analysis!$Z$65</c:f>
              <c:strCache>
                <c:ptCount val="1"/>
                <c:pt idx="0">
                  <c:v>sprayed</c:v>
                </c:pt>
              </c:strCache>
            </c:strRef>
          </c:tx>
          <c:invertIfNegative val="0"/>
          <c:errBars>
            <c:errBarType val="both"/>
            <c:errValType val="cust"/>
            <c:noEndCap val="0"/>
            <c:plus>
              <c:numRef>
                <c:f>Analysis!$AF$66:$AF$76</c:f>
                <c:numCache>
                  <c:formatCode>General</c:formatCode>
                  <c:ptCount val="11"/>
                  <c:pt idx="0">
                    <c:v>0.35973412678714045</c:v>
                  </c:pt>
                  <c:pt idx="1">
                    <c:v>1.3455514267300634</c:v>
                  </c:pt>
                  <c:pt idx="2">
                    <c:v>0.54127877849531703</c:v>
                  </c:pt>
                  <c:pt idx="3">
                    <c:v>0</c:v>
                  </c:pt>
                  <c:pt idx="4">
                    <c:v>0.8068969674310239</c:v>
                  </c:pt>
                  <c:pt idx="5">
                    <c:v>4.1666666666667927E-2</c:v>
                  </c:pt>
                  <c:pt idx="6">
                    <c:v>0.43656204570838097</c:v>
                  </c:pt>
                  <c:pt idx="7">
                    <c:v>0.13522728923219035</c:v>
                  </c:pt>
                  <c:pt idx="8">
                    <c:v>0.27168200365705331</c:v>
                  </c:pt>
                  <c:pt idx="9">
                    <c:v>0.3374047647983679</c:v>
                  </c:pt>
                  <c:pt idx="10">
                    <c:v>0.21817707159071761</c:v>
                  </c:pt>
                </c:numCache>
              </c:numRef>
            </c:plus>
            <c:minus>
              <c:numRef>
                <c:f>Analysis!$AF$66:$AF$76</c:f>
                <c:numCache>
                  <c:formatCode>General</c:formatCode>
                  <c:ptCount val="11"/>
                  <c:pt idx="0">
                    <c:v>0.35973412678714045</c:v>
                  </c:pt>
                  <c:pt idx="1">
                    <c:v>1.3455514267300634</c:v>
                  </c:pt>
                  <c:pt idx="2">
                    <c:v>0.54127877849531703</c:v>
                  </c:pt>
                  <c:pt idx="3">
                    <c:v>0</c:v>
                  </c:pt>
                  <c:pt idx="4">
                    <c:v>0.8068969674310239</c:v>
                  </c:pt>
                  <c:pt idx="5">
                    <c:v>4.1666666666667927E-2</c:v>
                  </c:pt>
                  <c:pt idx="6">
                    <c:v>0.43656204570838097</c:v>
                  </c:pt>
                  <c:pt idx="7">
                    <c:v>0.13522728923219035</c:v>
                  </c:pt>
                  <c:pt idx="8">
                    <c:v>0.27168200365705331</c:v>
                  </c:pt>
                  <c:pt idx="9">
                    <c:v>0.3374047647983679</c:v>
                  </c:pt>
                  <c:pt idx="10">
                    <c:v>0.21817707159071761</c:v>
                  </c:pt>
                </c:numCache>
              </c:numRef>
            </c:minus>
          </c:errBars>
          <c:cat>
            <c:strRef>
              <c:f>Analysis!$X$66:$X$76</c:f>
              <c:strCache>
                <c:ptCount val="11"/>
                <c:pt idx="0">
                  <c:v>Maksoy</c:v>
                </c:pt>
                <c:pt idx="1">
                  <c:v>Namsoy</c:v>
                </c:pt>
                <c:pt idx="2">
                  <c:v>Nyala</c:v>
                </c:pt>
                <c:pt idx="3">
                  <c:v>S823-6-16</c:v>
                </c:pt>
                <c:pt idx="4">
                  <c:v>Saga</c:v>
                </c:pt>
                <c:pt idx="5">
                  <c:v>Samba</c:v>
                </c:pt>
                <c:pt idx="6">
                  <c:v>SB 19</c:v>
                </c:pt>
                <c:pt idx="7">
                  <c:v>Sequel</c:v>
                </c:pt>
                <c:pt idx="8">
                  <c:v>Squire</c:v>
                </c:pt>
                <c:pt idx="9">
                  <c:v>TGx1987-62F</c:v>
                </c:pt>
                <c:pt idx="10">
                  <c:v>TGx1987-6F</c:v>
                </c:pt>
              </c:strCache>
            </c:strRef>
          </c:cat>
          <c:val>
            <c:numRef>
              <c:f>Analysis!$Z$66:$Z$76</c:f>
              <c:numCache>
                <c:formatCode>General</c:formatCode>
                <c:ptCount val="11"/>
                <c:pt idx="0">
                  <c:v>3.5711111111111116</c:v>
                </c:pt>
                <c:pt idx="1">
                  <c:v>2.9955555555555553</c:v>
                </c:pt>
                <c:pt idx="2">
                  <c:v>3.3488888888888888</c:v>
                </c:pt>
                <c:pt idx="3">
                  <c:v>1.88</c:v>
                </c:pt>
                <c:pt idx="4">
                  <c:v>2.0711111111111111</c:v>
                </c:pt>
                <c:pt idx="5">
                  <c:v>0.62166666666666659</c:v>
                </c:pt>
                <c:pt idx="6">
                  <c:v>2.4388888888888887</c:v>
                </c:pt>
                <c:pt idx="7">
                  <c:v>1.3122222222222222</c:v>
                </c:pt>
                <c:pt idx="8">
                  <c:v>0.91666666666666663</c:v>
                </c:pt>
                <c:pt idx="9">
                  <c:v>0.72888888888888903</c:v>
                </c:pt>
                <c:pt idx="10">
                  <c:v>0.90888888888888886</c:v>
                </c:pt>
              </c:numCache>
            </c:numRef>
          </c:val>
        </c:ser>
        <c:dLbls>
          <c:showLegendKey val="0"/>
          <c:showVal val="0"/>
          <c:showCatName val="0"/>
          <c:showSerName val="0"/>
          <c:showPercent val="0"/>
          <c:showBubbleSize val="0"/>
        </c:dLbls>
        <c:gapWidth val="150"/>
        <c:axId val="182965376"/>
        <c:axId val="182966912"/>
      </c:barChart>
      <c:catAx>
        <c:axId val="182965376"/>
        <c:scaling>
          <c:orientation val="minMax"/>
        </c:scaling>
        <c:delete val="0"/>
        <c:axPos val="b"/>
        <c:majorTickMark val="out"/>
        <c:minorTickMark val="none"/>
        <c:tickLblPos val="nextTo"/>
        <c:crossAx val="182966912"/>
        <c:crosses val="autoZero"/>
        <c:auto val="1"/>
        <c:lblAlgn val="ctr"/>
        <c:lblOffset val="100"/>
        <c:noMultiLvlLbl val="0"/>
      </c:catAx>
      <c:valAx>
        <c:axId val="182966912"/>
        <c:scaling>
          <c:orientation val="minMax"/>
        </c:scaling>
        <c:delete val="0"/>
        <c:axPos val="l"/>
        <c:title>
          <c:tx>
            <c:rich>
              <a:bodyPr rot="-5400000" vert="horz"/>
              <a:lstStyle/>
              <a:p>
                <a:pPr>
                  <a:defRPr/>
                </a:pPr>
                <a:r>
                  <a:rPr lang="en-US"/>
                  <a:t>Soybean average rust score</a:t>
                </a:r>
              </a:p>
            </c:rich>
          </c:tx>
          <c:overlay val="0"/>
        </c:title>
        <c:numFmt formatCode="General" sourceLinked="1"/>
        <c:majorTickMark val="out"/>
        <c:minorTickMark val="none"/>
        <c:tickLblPos val="nextTo"/>
        <c:crossAx val="182965376"/>
        <c:crosses val="autoZero"/>
        <c:crossBetween val="between"/>
      </c:valAx>
    </c:plotArea>
    <c:legend>
      <c:legendPos val="tr"/>
      <c:overlay val="1"/>
    </c:legend>
    <c:plotVisOnly val="1"/>
    <c:dispBlanksAs val="gap"/>
    <c:showDLblsOverMax val="0"/>
  </c:chart>
  <c:externalData r:id="rId1">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Analysis!$Y$23</c:f>
              <c:strCache>
                <c:ptCount val="1"/>
                <c:pt idx="0">
                  <c:v>not sprayed</c:v>
                </c:pt>
              </c:strCache>
            </c:strRef>
          </c:tx>
          <c:invertIfNegative val="0"/>
          <c:errBars>
            <c:errBarType val="both"/>
            <c:errValType val="cust"/>
            <c:noEndCap val="0"/>
            <c:plus>
              <c:numRef>
                <c:f>Analysis!$AE$24:$AE$34</c:f>
                <c:numCache>
                  <c:formatCode>General</c:formatCode>
                  <c:ptCount val="11"/>
                  <c:pt idx="0">
                    <c:v>0.16666666666666549</c:v>
                  </c:pt>
                  <c:pt idx="1">
                    <c:v>0.120185042515456</c:v>
                  </c:pt>
                  <c:pt idx="2">
                    <c:v>0.16666666666666638</c:v>
                  </c:pt>
                  <c:pt idx="3">
                    <c:v>0.25961509971494329</c:v>
                  </c:pt>
                  <c:pt idx="4">
                    <c:v>0.37859388972001973</c:v>
                  </c:pt>
                  <c:pt idx="5">
                    <c:v>0.40824829046386446</c:v>
                  </c:pt>
                  <c:pt idx="6">
                    <c:v>0.17638342073763641</c:v>
                  </c:pt>
                  <c:pt idx="7">
                    <c:v>0.36055512754639923</c:v>
                  </c:pt>
                  <c:pt idx="8">
                    <c:v>0.35276684147527781</c:v>
                  </c:pt>
                  <c:pt idx="9">
                    <c:v>0.1763834207376431</c:v>
                  </c:pt>
                  <c:pt idx="10">
                    <c:v>0.64377359719426441</c:v>
                  </c:pt>
                </c:numCache>
              </c:numRef>
            </c:plus>
            <c:minus>
              <c:numRef>
                <c:f>Analysis!$AE$24:$AE$34</c:f>
                <c:numCache>
                  <c:formatCode>General</c:formatCode>
                  <c:ptCount val="11"/>
                  <c:pt idx="0">
                    <c:v>0.16666666666666549</c:v>
                  </c:pt>
                  <c:pt idx="1">
                    <c:v>0.120185042515456</c:v>
                  </c:pt>
                  <c:pt idx="2">
                    <c:v>0.16666666666666638</c:v>
                  </c:pt>
                  <c:pt idx="3">
                    <c:v>0.25961509971494329</c:v>
                  </c:pt>
                  <c:pt idx="4">
                    <c:v>0.37859388972001973</c:v>
                  </c:pt>
                  <c:pt idx="5">
                    <c:v>0.40824829046386446</c:v>
                  </c:pt>
                  <c:pt idx="6">
                    <c:v>0.17638342073763641</c:v>
                  </c:pt>
                  <c:pt idx="7">
                    <c:v>0.36055512754639923</c:v>
                  </c:pt>
                  <c:pt idx="8">
                    <c:v>0.35276684147527781</c:v>
                  </c:pt>
                  <c:pt idx="9">
                    <c:v>0.1763834207376431</c:v>
                  </c:pt>
                  <c:pt idx="10">
                    <c:v>0.64377359719426441</c:v>
                  </c:pt>
                </c:numCache>
              </c:numRef>
            </c:minus>
          </c:errBars>
          <c:cat>
            <c:strRef>
              <c:f>Analysis!$X$24:$X$34</c:f>
              <c:strCache>
                <c:ptCount val="11"/>
                <c:pt idx="0">
                  <c:v>Maksoy</c:v>
                </c:pt>
                <c:pt idx="1">
                  <c:v>Namsoy</c:v>
                </c:pt>
                <c:pt idx="2">
                  <c:v>Nyala</c:v>
                </c:pt>
                <c:pt idx="3">
                  <c:v>S823-6-16</c:v>
                </c:pt>
                <c:pt idx="4">
                  <c:v>Saga</c:v>
                </c:pt>
                <c:pt idx="5">
                  <c:v>Samba</c:v>
                </c:pt>
                <c:pt idx="6">
                  <c:v>SB 19</c:v>
                </c:pt>
                <c:pt idx="7">
                  <c:v>Sequel</c:v>
                </c:pt>
                <c:pt idx="8">
                  <c:v>Squire</c:v>
                </c:pt>
                <c:pt idx="9">
                  <c:v>TGx1987-62F</c:v>
                </c:pt>
                <c:pt idx="10">
                  <c:v>TGx1987-6F</c:v>
                </c:pt>
              </c:strCache>
            </c:strRef>
          </c:cat>
          <c:val>
            <c:numRef>
              <c:f>Analysis!$Y$24:$Y$34</c:f>
              <c:numCache>
                <c:formatCode>General</c:formatCode>
                <c:ptCount val="11"/>
                <c:pt idx="0">
                  <c:v>4.2333333333333334</c:v>
                </c:pt>
                <c:pt idx="1">
                  <c:v>4.5333333333333341</c:v>
                </c:pt>
                <c:pt idx="2">
                  <c:v>1.7666666666666668</c:v>
                </c:pt>
                <c:pt idx="3">
                  <c:v>4.22</c:v>
                </c:pt>
                <c:pt idx="4">
                  <c:v>3.9</c:v>
                </c:pt>
                <c:pt idx="5">
                  <c:v>3.9999999999999996</c:v>
                </c:pt>
                <c:pt idx="6">
                  <c:v>4.1333333333333337</c:v>
                </c:pt>
                <c:pt idx="7">
                  <c:v>4</c:v>
                </c:pt>
                <c:pt idx="8">
                  <c:v>3.8333333333333335</c:v>
                </c:pt>
                <c:pt idx="9">
                  <c:v>3.5666666666666664</c:v>
                </c:pt>
                <c:pt idx="10">
                  <c:v>3.3333333333333335</c:v>
                </c:pt>
              </c:numCache>
            </c:numRef>
          </c:val>
        </c:ser>
        <c:ser>
          <c:idx val="1"/>
          <c:order val="1"/>
          <c:tx>
            <c:strRef>
              <c:f>Analysis!$Z$23</c:f>
              <c:strCache>
                <c:ptCount val="1"/>
                <c:pt idx="0">
                  <c:v>sprayed</c:v>
                </c:pt>
              </c:strCache>
            </c:strRef>
          </c:tx>
          <c:invertIfNegative val="0"/>
          <c:errBars>
            <c:errBarType val="both"/>
            <c:errValType val="cust"/>
            <c:noEndCap val="0"/>
            <c:plus>
              <c:numRef>
                <c:f>Analysis!$AF$24:$AF$34</c:f>
                <c:numCache>
                  <c:formatCode>General</c:formatCode>
                  <c:ptCount val="11"/>
                  <c:pt idx="0">
                    <c:v>0.37118429085533516</c:v>
                  </c:pt>
                  <c:pt idx="1">
                    <c:v>0.30550504633038805</c:v>
                  </c:pt>
                  <c:pt idx="2">
                    <c:v>5.7735026918964531E-2</c:v>
                  </c:pt>
                  <c:pt idx="3">
                    <c:v>0</c:v>
                  </c:pt>
                  <c:pt idx="4">
                    <c:v>0.33333333333333276</c:v>
                  </c:pt>
                  <c:pt idx="5">
                    <c:v>0.10000000000002557</c:v>
                  </c:pt>
                  <c:pt idx="6">
                    <c:v>0.41766546953805711</c:v>
                  </c:pt>
                  <c:pt idx="7">
                    <c:v>0.53644923131436939</c:v>
                  </c:pt>
                  <c:pt idx="8">
                    <c:v>6.1864048475881207E-2</c:v>
                  </c:pt>
                  <c:pt idx="9">
                    <c:v>0.20275875100994339</c:v>
                  </c:pt>
                  <c:pt idx="10">
                    <c:v>0.40414518843273739</c:v>
                  </c:pt>
                </c:numCache>
              </c:numRef>
            </c:plus>
            <c:minus>
              <c:numRef>
                <c:f>Analysis!$AF$24:$AF$34</c:f>
                <c:numCache>
                  <c:formatCode>General</c:formatCode>
                  <c:ptCount val="11"/>
                  <c:pt idx="0">
                    <c:v>0.37118429085533516</c:v>
                  </c:pt>
                  <c:pt idx="1">
                    <c:v>0.30550504633038805</c:v>
                  </c:pt>
                  <c:pt idx="2">
                    <c:v>5.7735026918964531E-2</c:v>
                  </c:pt>
                  <c:pt idx="3">
                    <c:v>0</c:v>
                  </c:pt>
                  <c:pt idx="4">
                    <c:v>0.33333333333333276</c:v>
                  </c:pt>
                  <c:pt idx="5">
                    <c:v>0.10000000000002557</c:v>
                  </c:pt>
                  <c:pt idx="6">
                    <c:v>0.41766546953805711</c:v>
                  </c:pt>
                  <c:pt idx="7">
                    <c:v>0.53644923131436939</c:v>
                  </c:pt>
                  <c:pt idx="8">
                    <c:v>6.1864048475881207E-2</c:v>
                  </c:pt>
                  <c:pt idx="9">
                    <c:v>0.20275875100994339</c:v>
                  </c:pt>
                  <c:pt idx="10">
                    <c:v>0.40414518843273739</c:v>
                  </c:pt>
                </c:numCache>
              </c:numRef>
            </c:minus>
          </c:errBars>
          <c:cat>
            <c:strRef>
              <c:f>Analysis!$X$24:$X$34</c:f>
              <c:strCache>
                <c:ptCount val="11"/>
                <c:pt idx="0">
                  <c:v>Maksoy</c:v>
                </c:pt>
                <c:pt idx="1">
                  <c:v>Namsoy</c:v>
                </c:pt>
                <c:pt idx="2">
                  <c:v>Nyala</c:v>
                </c:pt>
                <c:pt idx="3">
                  <c:v>S823-6-16</c:v>
                </c:pt>
                <c:pt idx="4">
                  <c:v>Saga</c:v>
                </c:pt>
                <c:pt idx="5">
                  <c:v>Samba</c:v>
                </c:pt>
                <c:pt idx="6">
                  <c:v>SB 19</c:v>
                </c:pt>
                <c:pt idx="7">
                  <c:v>Sequel</c:v>
                </c:pt>
                <c:pt idx="8">
                  <c:v>Squire</c:v>
                </c:pt>
                <c:pt idx="9">
                  <c:v>TGx1987-62F</c:v>
                </c:pt>
                <c:pt idx="10">
                  <c:v>TGx1987-6F</c:v>
                </c:pt>
              </c:strCache>
            </c:strRef>
          </c:cat>
          <c:val>
            <c:numRef>
              <c:f>Analysis!$Z$24:$Z$34</c:f>
              <c:numCache>
                <c:formatCode>General</c:formatCode>
                <c:ptCount val="11"/>
                <c:pt idx="0">
                  <c:v>4.4333333333333336</c:v>
                </c:pt>
                <c:pt idx="1">
                  <c:v>4</c:v>
                </c:pt>
                <c:pt idx="2">
                  <c:v>2.1</c:v>
                </c:pt>
                <c:pt idx="3">
                  <c:v>4.8</c:v>
                </c:pt>
                <c:pt idx="4">
                  <c:v>4.0333333333333341</c:v>
                </c:pt>
                <c:pt idx="5">
                  <c:v>4.1999999999999993</c:v>
                </c:pt>
                <c:pt idx="6">
                  <c:v>3.7333333333333329</c:v>
                </c:pt>
                <c:pt idx="7">
                  <c:v>4.0333333333333332</c:v>
                </c:pt>
                <c:pt idx="8">
                  <c:v>4.3777777777777773</c:v>
                </c:pt>
                <c:pt idx="9">
                  <c:v>3.0666666666666664</c:v>
                </c:pt>
                <c:pt idx="10">
                  <c:v>3.9000000000000004</c:v>
                </c:pt>
              </c:numCache>
            </c:numRef>
          </c:val>
        </c:ser>
        <c:dLbls>
          <c:showLegendKey val="0"/>
          <c:showVal val="0"/>
          <c:showCatName val="0"/>
          <c:showSerName val="0"/>
          <c:showPercent val="0"/>
          <c:showBubbleSize val="0"/>
        </c:dLbls>
        <c:gapWidth val="150"/>
        <c:axId val="182997376"/>
        <c:axId val="182998912"/>
      </c:barChart>
      <c:catAx>
        <c:axId val="182997376"/>
        <c:scaling>
          <c:orientation val="minMax"/>
        </c:scaling>
        <c:delete val="0"/>
        <c:axPos val="b"/>
        <c:majorTickMark val="out"/>
        <c:minorTickMark val="none"/>
        <c:tickLblPos val="nextTo"/>
        <c:crossAx val="182998912"/>
        <c:crosses val="autoZero"/>
        <c:auto val="1"/>
        <c:lblAlgn val="ctr"/>
        <c:lblOffset val="100"/>
        <c:noMultiLvlLbl val="0"/>
      </c:catAx>
      <c:valAx>
        <c:axId val="182998912"/>
        <c:scaling>
          <c:orientation val="minMax"/>
        </c:scaling>
        <c:delete val="0"/>
        <c:axPos val="l"/>
        <c:title>
          <c:tx>
            <c:rich>
              <a:bodyPr rot="-5400000" vert="horz"/>
              <a:lstStyle/>
              <a:p>
                <a:pPr>
                  <a:defRPr/>
                </a:pPr>
                <a:r>
                  <a:rPr lang="en-US"/>
                  <a:t>Soybean nodule score</a:t>
                </a:r>
              </a:p>
            </c:rich>
          </c:tx>
          <c:overlay val="0"/>
        </c:title>
        <c:numFmt formatCode="General" sourceLinked="1"/>
        <c:majorTickMark val="out"/>
        <c:minorTickMark val="none"/>
        <c:tickLblPos val="nextTo"/>
        <c:crossAx val="182997376"/>
        <c:crosses val="autoZero"/>
        <c:crossBetween val="between"/>
      </c:valAx>
    </c:plotArea>
    <c:legend>
      <c:legendPos val="tr"/>
      <c:overlay val="1"/>
    </c:legend>
    <c:plotVisOnly val="1"/>
    <c:dispBlanksAs val="gap"/>
    <c:showDLblsOverMax val="0"/>
  </c:chart>
  <c:externalData r:id="rId1">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Analysis!$Y$37</c:f>
              <c:strCache>
                <c:ptCount val="1"/>
                <c:pt idx="0">
                  <c:v>not sprayed</c:v>
                </c:pt>
              </c:strCache>
            </c:strRef>
          </c:tx>
          <c:invertIfNegative val="0"/>
          <c:errBars>
            <c:errBarType val="both"/>
            <c:errValType val="cust"/>
            <c:noEndCap val="0"/>
            <c:plus>
              <c:numRef>
                <c:f>Analysis!$AE$38:$AE$48</c:f>
                <c:numCache>
                  <c:formatCode>General</c:formatCode>
                  <c:ptCount val="11"/>
                  <c:pt idx="0">
                    <c:v>98.753937950975015</c:v>
                  </c:pt>
                  <c:pt idx="1">
                    <c:v>48.057275557357698</c:v>
                  </c:pt>
                  <c:pt idx="2">
                    <c:v>116.86639154624291</c:v>
                  </c:pt>
                  <c:pt idx="3">
                    <c:v>105.74109358408221</c:v>
                  </c:pt>
                  <c:pt idx="4">
                    <c:v>104.96398446139654</c:v>
                  </c:pt>
                  <c:pt idx="5">
                    <c:v>184.85192995007924</c:v>
                  </c:pt>
                  <c:pt idx="6">
                    <c:v>107.62794483359725</c:v>
                  </c:pt>
                  <c:pt idx="7">
                    <c:v>67.967966470419626</c:v>
                  </c:pt>
                  <c:pt idx="8">
                    <c:v>118.08692417491046</c:v>
                  </c:pt>
                  <c:pt idx="9">
                    <c:v>124.98350506553241</c:v>
                  </c:pt>
                  <c:pt idx="10">
                    <c:v>79.133342961747871</c:v>
                  </c:pt>
                </c:numCache>
              </c:numRef>
            </c:plus>
            <c:minus>
              <c:numRef>
                <c:f>Analysis!$AE$38:$AE$48</c:f>
                <c:numCache>
                  <c:formatCode>General</c:formatCode>
                  <c:ptCount val="11"/>
                  <c:pt idx="0">
                    <c:v>98.753937950975015</c:v>
                  </c:pt>
                  <c:pt idx="1">
                    <c:v>48.057275557357698</c:v>
                  </c:pt>
                  <c:pt idx="2">
                    <c:v>116.86639154624291</c:v>
                  </c:pt>
                  <c:pt idx="3">
                    <c:v>105.74109358408221</c:v>
                  </c:pt>
                  <c:pt idx="4">
                    <c:v>104.96398446139654</c:v>
                  </c:pt>
                  <c:pt idx="5">
                    <c:v>184.85192995007924</c:v>
                  </c:pt>
                  <c:pt idx="6">
                    <c:v>107.62794483359725</c:v>
                  </c:pt>
                  <c:pt idx="7">
                    <c:v>67.967966470419626</c:v>
                  </c:pt>
                  <c:pt idx="8">
                    <c:v>118.08692417491046</c:v>
                  </c:pt>
                  <c:pt idx="9">
                    <c:v>124.98350506553241</c:v>
                  </c:pt>
                  <c:pt idx="10">
                    <c:v>79.133342961747871</c:v>
                  </c:pt>
                </c:numCache>
              </c:numRef>
            </c:minus>
          </c:errBars>
          <c:cat>
            <c:strRef>
              <c:f>Analysis!$X$38:$X$48</c:f>
              <c:strCache>
                <c:ptCount val="11"/>
                <c:pt idx="0">
                  <c:v>Maksoy</c:v>
                </c:pt>
                <c:pt idx="1">
                  <c:v>Namsoy</c:v>
                </c:pt>
                <c:pt idx="2">
                  <c:v>Nyala</c:v>
                </c:pt>
                <c:pt idx="3">
                  <c:v>S823-6-16</c:v>
                </c:pt>
                <c:pt idx="4">
                  <c:v>Saga</c:v>
                </c:pt>
                <c:pt idx="5">
                  <c:v>Samba</c:v>
                </c:pt>
                <c:pt idx="6">
                  <c:v>SB 19</c:v>
                </c:pt>
                <c:pt idx="7">
                  <c:v>Sequel</c:v>
                </c:pt>
                <c:pt idx="8">
                  <c:v>Squire</c:v>
                </c:pt>
                <c:pt idx="9">
                  <c:v>TGx1987-62F</c:v>
                </c:pt>
                <c:pt idx="10">
                  <c:v>TGx1987-6F</c:v>
                </c:pt>
              </c:strCache>
            </c:strRef>
          </c:cat>
          <c:val>
            <c:numRef>
              <c:f>Analysis!$Y$38:$Y$48</c:f>
              <c:numCache>
                <c:formatCode>General</c:formatCode>
                <c:ptCount val="11"/>
                <c:pt idx="0">
                  <c:v>360.91586960579701</c:v>
                </c:pt>
                <c:pt idx="1">
                  <c:v>367.96843022749164</c:v>
                </c:pt>
                <c:pt idx="2">
                  <c:v>564.96333289612403</c:v>
                </c:pt>
                <c:pt idx="3">
                  <c:v>1029.7410921106934</c:v>
                </c:pt>
                <c:pt idx="4">
                  <c:v>1344.0708996960518</c:v>
                </c:pt>
                <c:pt idx="5">
                  <c:v>727.73428707881658</c:v>
                </c:pt>
                <c:pt idx="6">
                  <c:v>454.36097497721067</c:v>
                </c:pt>
                <c:pt idx="7">
                  <c:v>789.39715796681992</c:v>
                </c:pt>
                <c:pt idx="8">
                  <c:v>1007.3028466483471</c:v>
                </c:pt>
                <c:pt idx="9">
                  <c:v>964.27297515148166</c:v>
                </c:pt>
                <c:pt idx="10">
                  <c:v>533.32861516796822</c:v>
                </c:pt>
              </c:numCache>
            </c:numRef>
          </c:val>
        </c:ser>
        <c:ser>
          <c:idx val="1"/>
          <c:order val="1"/>
          <c:tx>
            <c:strRef>
              <c:f>Analysis!$Z$37</c:f>
              <c:strCache>
                <c:ptCount val="1"/>
                <c:pt idx="0">
                  <c:v>sprayed</c:v>
                </c:pt>
              </c:strCache>
            </c:strRef>
          </c:tx>
          <c:invertIfNegative val="0"/>
          <c:errBars>
            <c:errBarType val="both"/>
            <c:errValType val="cust"/>
            <c:noEndCap val="0"/>
            <c:plus>
              <c:numRef>
                <c:f>Analysis!$AF$38:$AF$48</c:f>
                <c:numCache>
                  <c:formatCode>General</c:formatCode>
                  <c:ptCount val="11"/>
                  <c:pt idx="0">
                    <c:v>80.078817425707143</c:v>
                  </c:pt>
                  <c:pt idx="1">
                    <c:v>242.54417790913078</c:v>
                  </c:pt>
                  <c:pt idx="2">
                    <c:v>213.88278898130721</c:v>
                  </c:pt>
                  <c:pt idx="3">
                    <c:v>0</c:v>
                  </c:pt>
                  <c:pt idx="4">
                    <c:v>360.33259703991729</c:v>
                  </c:pt>
                  <c:pt idx="5">
                    <c:v>21.316096172739126</c:v>
                  </c:pt>
                  <c:pt idx="6">
                    <c:v>35.869605127580826</c:v>
                  </c:pt>
                  <c:pt idx="7">
                    <c:v>152.26332918549519</c:v>
                  </c:pt>
                  <c:pt idx="8">
                    <c:v>88.983075889523462</c:v>
                  </c:pt>
                  <c:pt idx="9">
                    <c:v>260.86020018488534</c:v>
                  </c:pt>
                  <c:pt idx="10">
                    <c:v>109.38837752856945</c:v>
                  </c:pt>
                </c:numCache>
              </c:numRef>
            </c:plus>
            <c:minus>
              <c:numRef>
                <c:f>Analysis!$AF$38:$AF$48</c:f>
                <c:numCache>
                  <c:formatCode>General</c:formatCode>
                  <c:ptCount val="11"/>
                  <c:pt idx="0">
                    <c:v>80.078817425707143</c:v>
                  </c:pt>
                  <c:pt idx="1">
                    <c:v>242.54417790913078</c:v>
                  </c:pt>
                  <c:pt idx="2">
                    <c:v>213.88278898130721</c:v>
                  </c:pt>
                  <c:pt idx="3">
                    <c:v>0</c:v>
                  </c:pt>
                  <c:pt idx="4">
                    <c:v>360.33259703991729</c:v>
                  </c:pt>
                  <c:pt idx="5">
                    <c:v>21.316096172739126</c:v>
                  </c:pt>
                  <c:pt idx="6">
                    <c:v>35.869605127580826</c:v>
                  </c:pt>
                  <c:pt idx="7">
                    <c:v>152.26332918549519</c:v>
                  </c:pt>
                  <c:pt idx="8">
                    <c:v>88.983075889523462</c:v>
                  </c:pt>
                  <c:pt idx="9">
                    <c:v>260.86020018488534</c:v>
                  </c:pt>
                  <c:pt idx="10">
                    <c:v>109.38837752856945</c:v>
                  </c:pt>
                </c:numCache>
              </c:numRef>
            </c:minus>
          </c:errBars>
          <c:cat>
            <c:strRef>
              <c:f>Analysis!$X$38:$X$48</c:f>
              <c:strCache>
                <c:ptCount val="11"/>
                <c:pt idx="0">
                  <c:v>Maksoy</c:v>
                </c:pt>
                <c:pt idx="1">
                  <c:v>Namsoy</c:v>
                </c:pt>
                <c:pt idx="2">
                  <c:v>Nyala</c:v>
                </c:pt>
                <c:pt idx="3">
                  <c:v>S823-6-16</c:v>
                </c:pt>
                <c:pt idx="4">
                  <c:v>Saga</c:v>
                </c:pt>
                <c:pt idx="5">
                  <c:v>Samba</c:v>
                </c:pt>
                <c:pt idx="6">
                  <c:v>SB 19</c:v>
                </c:pt>
                <c:pt idx="7">
                  <c:v>Sequel</c:v>
                </c:pt>
                <c:pt idx="8">
                  <c:v>Squire</c:v>
                </c:pt>
                <c:pt idx="9">
                  <c:v>TGx1987-62F</c:v>
                </c:pt>
                <c:pt idx="10">
                  <c:v>TGx1987-6F</c:v>
                </c:pt>
              </c:strCache>
            </c:strRef>
          </c:cat>
          <c:val>
            <c:numRef>
              <c:f>Analysis!$Z$38:$Z$48</c:f>
              <c:numCache>
                <c:formatCode>General</c:formatCode>
                <c:ptCount val="11"/>
                <c:pt idx="0">
                  <c:v>858.16913705227091</c:v>
                </c:pt>
                <c:pt idx="1">
                  <c:v>826.55597627164445</c:v>
                </c:pt>
                <c:pt idx="2">
                  <c:v>950.17924197554441</c:v>
                </c:pt>
                <c:pt idx="3">
                  <c:v>1563.8408602150539</c:v>
                </c:pt>
                <c:pt idx="4">
                  <c:v>1037.935073241387</c:v>
                </c:pt>
                <c:pt idx="5">
                  <c:v>1122.2750002823298</c:v>
                </c:pt>
                <c:pt idx="6">
                  <c:v>747.06003929967756</c:v>
                </c:pt>
                <c:pt idx="7">
                  <c:v>938.33284808118151</c:v>
                </c:pt>
                <c:pt idx="8">
                  <c:v>1021.0326034222011</c:v>
                </c:pt>
                <c:pt idx="9">
                  <c:v>779.69670062826026</c:v>
                </c:pt>
                <c:pt idx="10">
                  <c:v>621.56056333634967</c:v>
                </c:pt>
              </c:numCache>
            </c:numRef>
          </c:val>
        </c:ser>
        <c:dLbls>
          <c:showLegendKey val="0"/>
          <c:showVal val="0"/>
          <c:showCatName val="0"/>
          <c:showSerName val="0"/>
          <c:showPercent val="0"/>
          <c:showBubbleSize val="0"/>
        </c:dLbls>
        <c:gapWidth val="150"/>
        <c:axId val="183065984"/>
        <c:axId val="183067776"/>
      </c:barChart>
      <c:catAx>
        <c:axId val="183065984"/>
        <c:scaling>
          <c:orientation val="minMax"/>
        </c:scaling>
        <c:delete val="0"/>
        <c:axPos val="b"/>
        <c:majorTickMark val="out"/>
        <c:minorTickMark val="none"/>
        <c:tickLblPos val="nextTo"/>
        <c:crossAx val="183067776"/>
        <c:crosses val="autoZero"/>
        <c:auto val="1"/>
        <c:lblAlgn val="ctr"/>
        <c:lblOffset val="100"/>
        <c:noMultiLvlLbl val="0"/>
      </c:catAx>
      <c:valAx>
        <c:axId val="183067776"/>
        <c:scaling>
          <c:orientation val="minMax"/>
        </c:scaling>
        <c:delete val="0"/>
        <c:axPos val="l"/>
        <c:title>
          <c:tx>
            <c:rich>
              <a:bodyPr rot="-5400000" vert="horz"/>
              <a:lstStyle/>
              <a:p>
                <a:pPr>
                  <a:defRPr/>
                </a:pPr>
                <a:r>
                  <a:rPr lang="en-US"/>
                  <a:t>Soybean grain yield (kg/ha)</a:t>
                </a:r>
              </a:p>
            </c:rich>
          </c:tx>
          <c:overlay val="0"/>
        </c:title>
        <c:numFmt formatCode="General" sourceLinked="1"/>
        <c:majorTickMark val="out"/>
        <c:minorTickMark val="none"/>
        <c:tickLblPos val="nextTo"/>
        <c:crossAx val="183065984"/>
        <c:crosses val="autoZero"/>
        <c:crossBetween val="between"/>
      </c:valAx>
    </c:plotArea>
    <c:legend>
      <c:legendPos val="tr"/>
      <c:overlay val="1"/>
    </c:legend>
    <c:plotVisOnly val="1"/>
    <c:dispBlanksAs val="gap"/>
    <c:showDLblsOverMax val="0"/>
  </c:chart>
  <c:externalData r:id="rId1">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Analysis!$Y$51</c:f>
              <c:strCache>
                <c:ptCount val="1"/>
                <c:pt idx="0">
                  <c:v>not sprayed</c:v>
                </c:pt>
              </c:strCache>
            </c:strRef>
          </c:tx>
          <c:invertIfNegative val="0"/>
          <c:errBars>
            <c:errBarType val="both"/>
            <c:errValType val="cust"/>
            <c:noEndCap val="0"/>
            <c:plus>
              <c:numRef>
                <c:f>Analysis!$AE$52:$AE$62</c:f>
                <c:numCache>
                  <c:formatCode>General</c:formatCode>
                  <c:ptCount val="11"/>
                  <c:pt idx="0">
                    <c:v>288.23151718785368</c:v>
                  </c:pt>
                  <c:pt idx="1">
                    <c:v>24.622605428717897</c:v>
                  </c:pt>
                  <c:pt idx="2">
                    <c:v>267.26728428177228</c:v>
                  </c:pt>
                  <c:pt idx="3">
                    <c:v>164.56726914512606</c:v>
                  </c:pt>
                  <c:pt idx="4">
                    <c:v>182.74201774065079</c:v>
                  </c:pt>
                  <c:pt idx="5">
                    <c:v>193.76970129620653</c:v>
                  </c:pt>
                  <c:pt idx="6">
                    <c:v>131.2430940844682</c:v>
                  </c:pt>
                  <c:pt idx="7">
                    <c:v>93.159476550605277</c:v>
                  </c:pt>
                  <c:pt idx="8">
                    <c:v>217.95103288138836</c:v>
                  </c:pt>
                  <c:pt idx="9">
                    <c:v>94.576384860176162</c:v>
                  </c:pt>
                  <c:pt idx="10">
                    <c:v>411.72251851824171</c:v>
                  </c:pt>
                </c:numCache>
              </c:numRef>
            </c:plus>
            <c:minus>
              <c:numRef>
                <c:f>Analysis!$AE$52:$AE$62</c:f>
                <c:numCache>
                  <c:formatCode>General</c:formatCode>
                  <c:ptCount val="11"/>
                  <c:pt idx="0">
                    <c:v>288.23151718785368</c:v>
                  </c:pt>
                  <c:pt idx="1">
                    <c:v>24.622605428717897</c:v>
                  </c:pt>
                  <c:pt idx="2">
                    <c:v>267.26728428177228</c:v>
                  </c:pt>
                  <c:pt idx="3">
                    <c:v>164.56726914512606</c:v>
                  </c:pt>
                  <c:pt idx="4">
                    <c:v>182.74201774065079</c:v>
                  </c:pt>
                  <c:pt idx="5">
                    <c:v>193.76970129620653</c:v>
                  </c:pt>
                  <c:pt idx="6">
                    <c:v>131.2430940844682</c:v>
                  </c:pt>
                  <c:pt idx="7">
                    <c:v>93.159476550605277</c:v>
                  </c:pt>
                  <c:pt idx="8">
                    <c:v>217.95103288138836</c:v>
                  </c:pt>
                  <c:pt idx="9">
                    <c:v>94.576384860176162</c:v>
                  </c:pt>
                  <c:pt idx="10">
                    <c:v>411.72251851824171</c:v>
                  </c:pt>
                </c:numCache>
              </c:numRef>
            </c:minus>
          </c:errBars>
          <c:cat>
            <c:strRef>
              <c:f>Analysis!$X$52:$X$62</c:f>
              <c:strCache>
                <c:ptCount val="11"/>
                <c:pt idx="0">
                  <c:v>Maksoy</c:v>
                </c:pt>
                <c:pt idx="1">
                  <c:v>Namsoy</c:v>
                </c:pt>
                <c:pt idx="2">
                  <c:v>Nyala</c:v>
                </c:pt>
                <c:pt idx="3">
                  <c:v>S823-6-16</c:v>
                </c:pt>
                <c:pt idx="4">
                  <c:v>Saga</c:v>
                </c:pt>
                <c:pt idx="5">
                  <c:v>Samba</c:v>
                </c:pt>
                <c:pt idx="6">
                  <c:v>SB 19</c:v>
                </c:pt>
                <c:pt idx="7">
                  <c:v>Sequel</c:v>
                </c:pt>
                <c:pt idx="8">
                  <c:v>Squire</c:v>
                </c:pt>
                <c:pt idx="9">
                  <c:v>TGx1987-62F</c:v>
                </c:pt>
                <c:pt idx="10">
                  <c:v>TGx1987-6F</c:v>
                </c:pt>
              </c:strCache>
            </c:strRef>
          </c:cat>
          <c:val>
            <c:numRef>
              <c:f>Analysis!$Y$52:$Y$62</c:f>
              <c:numCache>
                <c:formatCode>General</c:formatCode>
                <c:ptCount val="11"/>
                <c:pt idx="0">
                  <c:v>1181.4805826611998</c:v>
                </c:pt>
                <c:pt idx="1">
                  <c:v>1193.9486097010024</c:v>
                </c:pt>
                <c:pt idx="2">
                  <c:v>1337.9099363040812</c:v>
                </c:pt>
                <c:pt idx="3">
                  <c:v>1612.2214901258769</c:v>
                </c:pt>
                <c:pt idx="4">
                  <c:v>1451.2206796426926</c:v>
                </c:pt>
                <c:pt idx="5">
                  <c:v>1470.7151907423574</c:v>
                </c:pt>
                <c:pt idx="6">
                  <c:v>995.37559646890929</c:v>
                </c:pt>
                <c:pt idx="7">
                  <c:v>1275.8339085230675</c:v>
                </c:pt>
                <c:pt idx="8">
                  <c:v>1562.0046401080692</c:v>
                </c:pt>
                <c:pt idx="9">
                  <c:v>1849.9747179904789</c:v>
                </c:pt>
                <c:pt idx="10">
                  <c:v>1764.2354192415321</c:v>
                </c:pt>
              </c:numCache>
            </c:numRef>
          </c:val>
        </c:ser>
        <c:ser>
          <c:idx val="1"/>
          <c:order val="1"/>
          <c:tx>
            <c:strRef>
              <c:f>Analysis!$Z$51</c:f>
              <c:strCache>
                <c:ptCount val="1"/>
                <c:pt idx="0">
                  <c:v>sprayed</c:v>
                </c:pt>
              </c:strCache>
            </c:strRef>
          </c:tx>
          <c:invertIfNegative val="0"/>
          <c:errBars>
            <c:errBarType val="both"/>
            <c:errValType val="cust"/>
            <c:noEndCap val="0"/>
            <c:plus>
              <c:numRef>
                <c:f>Analysis!$AF$52:$AF$62</c:f>
                <c:numCache>
                  <c:formatCode>General</c:formatCode>
                  <c:ptCount val="11"/>
                  <c:pt idx="0">
                    <c:v>120.19915595583335</c:v>
                  </c:pt>
                  <c:pt idx="1">
                    <c:v>157.84045764437695</c:v>
                  </c:pt>
                  <c:pt idx="2">
                    <c:v>272.68454598657945</c:v>
                  </c:pt>
                  <c:pt idx="3">
                    <c:v>0</c:v>
                  </c:pt>
                  <c:pt idx="4">
                    <c:v>211.58940650636092</c:v>
                  </c:pt>
                  <c:pt idx="5">
                    <c:v>601.68465479942233</c:v>
                  </c:pt>
                  <c:pt idx="6">
                    <c:v>35.152518384092708</c:v>
                  </c:pt>
                  <c:pt idx="7">
                    <c:v>158.31527979341024</c:v>
                  </c:pt>
                  <c:pt idx="8">
                    <c:v>208.45514447876047</c:v>
                  </c:pt>
                  <c:pt idx="9">
                    <c:v>95.915564744004257</c:v>
                  </c:pt>
                  <c:pt idx="10">
                    <c:v>374.52019450871427</c:v>
                  </c:pt>
                </c:numCache>
              </c:numRef>
            </c:plus>
            <c:minus>
              <c:numRef>
                <c:f>Analysis!$AF$52:$AF$62</c:f>
                <c:numCache>
                  <c:formatCode>General</c:formatCode>
                  <c:ptCount val="11"/>
                  <c:pt idx="0">
                    <c:v>120.19915595583335</c:v>
                  </c:pt>
                  <c:pt idx="1">
                    <c:v>157.84045764437695</c:v>
                  </c:pt>
                  <c:pt idx="2">
                    <c:v>272.68454598657945</c:v>
                  </c:pt>
                  <c:pt idx="3">
                    <c:v>0</c:v>
                  </c:pt>
                  <c:pt idx="4">
                    <c:v>211.58940650636092</c:v>
                  </c:pt>
                  <c:pt idx="5">
                    <c:v>601.68465479942233</c:v>
                  </c:pt>
                  <c:pt idx="6">
                    <c:v>35.152518384092708</c:v>
                  </c:pt>
                  <c:pt idx="7">
                    <c:v>158.31527979341024</c:v>
                  </c:pt>
                  <c:pt idx="8">
                    <c:v>208.45514447876047</c:v>
                  </c:pt>
                  <c:pt idx="9">
                    <c:v>95.915564744004257</c:v>
                  </c:pt>
                  <c:pt idx="10">
                    <c:v>374.52019450871427</c:v>
                  </c:pt>
                </c:numCache>
              </c:numRef>
            </c:minus>
          </c:errBars>
          <c:cat>
            <c:strRef>
              <c:f>Analysis!$X$52:$X$62</c:f>
              <c:strCache>
                <c:ptCount val="11"/>
                <c:pt idx="0">
                  <c:v>Maksoy</c:v>
                </c:pt>
                <c:pt idx="1">
                  <c:v>Namsoy</c:v>
                </c:pt>
                <c:pt idx="2">
                  <c:v>Nyala</c:v>
                </c:pt>
                <c:pt idx="3">
                  <c:v>S823-6-16</c:v>
                </c:pt>
                <c:pt idx="4">
                  <c:v>Saga</c:v>
                </c:pt>
                <c:pt idx="5">
                  <c:v>Samba</c:v>
                </c:pt>
                <c:pt idx="6">
                  <c:v>SB 19</c:v>
                </c:pt>
                <c:pt idx="7">
                  <c:v>Sequel</c:v>
                </c:pt>
                <c:pt idx="8">
                  <c:v>Squire</c:v>
                </c:pt>
                <c:pt idx="9">
                  <c:v>TGx1987-62F</c:v>
                </c:pt>
                <c:pt idx="10">
                  <c:v>TGx1987-6F</c:v>
                </c:pt>
              </c:strCache>
            </c:strRef>
          </c:cat>
          <c:val>
            <c:numRef>
              <c:f>Analysis!$Z$52:$Z$62</c:f>
              <c:numCache>
                <c:formatCode>General</c:formatCode>
                <c:ptCount val="11"/>
                <c:pt idx="0">
                  <c:v>1428.4459391155988</c:v>
                </c:pt>
                <c:pt idx="1">
                  <c:v>2002.3289408733128</c:v>
                </c:pt>
                <c:pt idx="2">
                  <c:v>1204.8533690438105</c:v>
                </c:pt>
                <c:pt idx="3">
                  <c:v>2314.8548791247576</c:v>
                </c:pt>
                <c:pt idx="4">
                  <c:v>1861.0850359658089</c:v>
                </c:pt>
                <c:pt idx="5">
                  <c:v>2264.8327296635571</c:v>
                </c:pt>
                <c:pt idx="6">
                  <c:v>1248.3406542829944</c:v>
                </c:pt>
                <c:pt idx="7">
                  <c:v>1220.4433669602097</c:v>
                </c:pt>
                <c:pt idx="8">
                  <c:v>1658.2481091435573</c:v>
                </c:pt>
                <c:pt idx="9">
                  <c:v>1943.119903653158</c:v>
                </c:pt>
                <c:pt idx="10">
                  <c:v>1963.8979182589262</c:v>
                </c:pt>
              </c:numCache>
            </c:numRef>
          </c:val>
        </c:ser>
        <c:dLbls>
          <c:showLegendKey val="0"/>
          <c:showVal val="0"/>
          <c:showCatName val="0"/>
          <c:showSerName val="0"/>
          <c:showPercent val="0"/>
          <c:showBubbleSize val="0"/>
        </c:dLbls>
        <c:gapWidth val="150"/>
        <c:axId val="183097984"/>
        <c:axId val="183120256"/>
      </c:barChart>
      <c:catAx>
        <c:axId val="183097984"/>
        <c:scaling>
          <c:orientation val="minMax"/>
        </c:scaling>
        <c:delete val="0"/>
        <c:axPos val="b"/>
        <c:majorTickMark val="out"/>
        <c:minorTickMark val="none"/>
        <c:tickLblPos val="nextTo"/>
        <c:crossAx val="183120256"/>
        <c:crosses val="autoZero"/>
        <c:auto val="1"/>
        <c:lblAlgn val="ctr"/>
        <c:lblOffset val="100"/>
        <c:noMultiLvlLbl val="0"/>
      </c:catAx>
      <c:valAx>
        <c:axId val="183120256"/>
        <c:scaling>
          <c:orientation val="minMax"/>
        </c:scaling>
        <c:delete val="0"/>
        <c:axPos val="l"/>
        <c:title>
          <c:tx>
            <c:rich>
              <a:bodyPr rot="-5400000" vert="horz"/>
              <a:lstStyle/>
              <a:p>
                <a:pPr>
                  <a:defRPr/>
                </a:pPr>
                <a:r>
                  <a:rPr lang="en-US"/>
                  <a:t>Soybean stover yield (kg/ha)</a:t>
                </a:r>
              </a:p>
            </c:rich>
          </c:tx>
          <c:overlay val="0"/>
        </c:title>
        <c:numFmt formatCode="General" sourceLinked="1"/>
        <c:majorTickMark val="out"/>
        <c:minorTickMark val="none"/>
        <c:tickLblPos val="nextTo"/>
        <c:crossAx val="183097984"/>
        <c:crosses val="autoZero"/>
        <c:crossBetween val="between"/>
      </c:valAx>
    </c:plotArea>
    <c:legend>
      <c:legendPos val="tr"/>
      <c:overlay val="1"/>
    </c:legend>
    <c:plotVisOnly val="1"/>
    <c:dispBlanksAs val="gap"/>
    <c:showDLblsOverMax val="0"/>
  </c:chart>
  <c:externalData r:id="rId1">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Analysis!$AA$70</c:f>
              <c:strCache>
                <c:ptCount val="1"/>
                <c:pt idx="0">
                  <c:v>not sprayed</c:v>
                </c:pt>
              </c:strCache>
            </c:strRef>
          </c:tx>
          <c:invertIfNegative val="0"/>
          <c:errBars>
            <c:errBarType val="both"/>
            <c:errValType val="cust"/>
            <c:noEndCap val="0"/>
            <c:plus>
              <c:numRef>
                <c:f>Analysis!$AG$71:$AG$81</c:f>
                <c:numCache>
                  <c:formatCode>General</c:formatCode>
                  <c:ptCount val="11"/>
                  <c:pt idx="0">
                    <c:v>1.7534326123138924</c:v>
                  </c:pt>
                  <c:pt idx="1">
                    <c:v>1.8935486844468439</c:v>
                  </c:pt>
                  <c:pt idx="2">
                    <c:v>3.1404285800932739</c:v>
                  </c:pt>
                  <c:pt idx="3">
                    <c:v>1.5651514540369809</c:v>
                  </c:pt>
                  <c:pt idx="4">
                    <c:v>1.0036659655335396</c:v>
                  </c:pt>
                  <c:pt idx="5">
                    <c:v>2.0824150754103505</c:v>
                  </c:pt>
                  <c:pt idx="6">
                    <c:v>4.0270946642939975</c:v>
                  </c:pt>
                  <c:pt idx="7">
                    <c:v>1.6609345874247139</c:v>
                  </c:pt>
                  <c:pt idx="8">
                    <c:v>2.0276150809921165</c:v>
                  </c:pt>
                  <c:pt idx="9">
                    <c:v>0.26999485591807515</c:v>
                  </c:pt>
                  <c:pt idx="10">
                    <c:v>5.5257907721345561</c:v>
                  </c:pt>
                </c:numCache>
              </c:numRef>
            </c:plus>
            <c:minus>
              <c:numRef>
                <c:f>Analysis!$AG$71:$AG$81</c:f>
                <c:numCache>
                  <c:formatCode>General</c:formatCode>
                  <c:ptCount val="11"/>
                  <c:pt idx="0">
                    <c:v>1.7534326123138924</c:v>
                  </c:pt>
                  <c:pt idx="1">
                    <c:v>1.8935486844468439</c:v>
                  </c:pt>
                  <c:pt idx="2">
                    <c:v>3.1404285800932739</c:v>
                  </c:pt>
                  <c:pt idx="3">
                    <c:v>1.5651514540369809</c:v>
                  </c:pt>
                  <c:pt idx="4">
                    <c:v>1.0036659655335396</c:v>
                  </c:pt>
                  <c:pt idx="5">
                    <c:v>2.0824150754103505</c:v>
                  </c:pt>
                  <c:pt idx="6">
                    <c:v>4.0270946642939975</c:v>
                  </c:pt>
                  <c:pt idx="7">
                    <c:v>1.6609345874247139</c:v>
                  </c:pt>
                  <c:pt idx="8">
                    <c:v>2.0276150809921165</c:v>
                  </c:pt>
                  <c:pt idx="9">
                    <c:v>0.26999485591807515</c:v>
                  </c:pt>
                  <c:pt idx="10">
                    <c:v>5.5257907721345561</c:v>
                  </c:pt>
                </c:numCache>
              </c:numRef>
            </c:minus>
          </c:errBars>
          <c:cat>
            <c:strRef>
              <c:f>Analysis!$Z$71:$Z$81</c:f>
              <c:strCache>
                <c:ptCount val="11"/>
                <c:pt idx="0">
                  <c:v>Maksoy</c:v>
                </c:pt>
                <c:pt idx="1">
                  <c:v>Namsoy</c:v>
                </c:pt>
                <c:pt idx="2">
                  <c:v>Nyala</c:v>
                </c:pt>
                <c:pt idx="3">
                  <c:v>S823-6-16</c:v>
                </c:pt>
                <c:pt idx="4">
                  <c:v>Saga</c:v>
                </c:pt>
                <c:pt idx="5">
                  <c:v>Samba</c:v>
                </c:pt>
                <c:pt idx="6">
                  <c:v>SB 19</c:v>
                </c:pt>
                <c:pt idx="7">
                  <c:v>Sequel</c:v>
                </c:pt>
                <c:pt idx="8">
                  <c:v>Squire</c:v>
                </c:pt>
                <c:pt idx="9">
                  <c:v>TGx 1987-62F</c:v>
                </c:pt>
                <c:pt idx="10">
                  <c:v>TGx 1987-6F</c:v>
                </c:pt>
              </c:strCache>
            </c:strRef>
          </c:cat>
          <c:val>
            <c:numRef>
              <c:f>Analysis!$AA$71:$AA$81</c:f>
              <c:numCache>
                <c:formatCode>General</c:formatCode>
                <c:ptCount val="11"/>
                <c:pt idx="0">
                  <c:v>13.893333333333334</c:v>
                </c:pt>
                <c:pt idx="1">
                  <c:v>9.1791666666666671</c:v>
                </c:pt>
                <c:pt idx="2">
                  <c:v>9.3250000000000011</c:v>
                </c:pt>
                <c:pt idx="3">
                  <c:v>6.208333333333333</c:v>
                </c:pt>
                <c:pt idx="4">
                  <c:v>5.2983333333333329</c:v>
                </c:pt>
                <c:pt idx="5">
                  <c:v>8.4875000000000007</c:v>
                </c:pt>
                <c:pt idx="6">
                  <c:v>8.0841666666666665</c:v>
                </c:pt>
                <c:pt idx="7">
                  <c:v>4.6666666666666661</c:v>
                </c:pt>
                <c:pt idx="8">
                  <c:v>6.1908333333333339</c:v>
                </c:pt>
                <c:pt idx="9">
                  <c:v>1.1383333333333334</c:v>
                </c:pt>
                <c:pt idx="10">
                  <c:v>8.5408333333333335</c:v>
                </c:pt>
              </c:numCache>
            </c:numRef>
          </c:val>
        </c:ser>
        <c:ser>
          <c:idx val="1"/>
          <c:order val="1"/>
          <c:tx>
            <c:strRef>
              <c:f>Analysis!$AB$70</c:f>
              <c:strCache>
                <c:ptCount val="1"/>
                <c:pt idx="0">
                  <c:v>sprayed</c:v>
                </c:pt>
              </c:strCache>
            </c:strRef>
          </c:tx>
          <c:invertIfNegative val="0"/>
          <c:errBars>
            <c:errBarType val="both"/>
            <c:errValType val="cust"/>
            <c:noEndCap val="0"/>
            <c:plus>
              <c:numRef>
                <c:f>Analysis!$AH$71:$AH$81</c:f>
                <c:numCache>
                  <c:formatCode>General</c:formatCode>
                  <c:ptCount val="11"/>
                  <c:pt idx="0">
                    <c:v>0.2173765081518616</c:v>
                  </c:pt>
                  <c:pt idx="1">
                    <c:v>0.35156100308323301</c:v>
                  </c:pt>
                  <c:pt idx="2">
                    <c:v>0.933581316262314</c:v>
                  </c:pt>
                  <c:pt idx="3">
                    <c:v>0.26257406362565378</c:v>
                  </c:pt>
                  <c:pt idx="4">
                    <c:v>0.78300155503369562</c:v>
                  </c:pt>
                  <c:pt idx="5">
                    <c:v>0.24321915129272964</c:v>
                  </c:pt>
                  <c:pt idx="6">
                    <c:v>0.56131521315435473</c:v>
                  </c:pt>
                  <c:pt idx="7">
                    <c:v>2.9037642794725511</c:v>
                  </c:pt>
                  <c:pt idx="8">
                    <c:v>0.20779708763510052</c:v>
                  </c:pt>
                  <c:pt idx="9">
                    <c:v>1.406026710667728</c:v>
                  </c:pt>
                  <c:pt idx="10">
                    <c:v>0.51866348006733198</c:v>
                  </c:pt>
                </c:numCache>
              </c:numRef>
            </c:plus>
            <c:minus>
              <c:numRef>
                <c:f>Analysis!$AH$71:$AH$81</c:f>
                <c:numCache>
                  <c:formatCode>General</c:formatCode>
                  <c:ptCount val="11"/>
                  <c:pt idx="0">
                    <c:v>0.2173765081518616</c:v>
                  </c:pt>
                  <c:pt idx="1">
                    <c:v>0.35156100308323301</c:v>
                  </c:pt>
                  <c:pt idx="2">
                    <c:v>0.933581316262314</c:v>
                  </c:pt>
                  <c:pt idx="3">
                    <c:v>0.26257406362565378</c:v>
                  </c:pt>
                  <c:pt idx="4">
                    <c:v>0.78300155503369562</c:v>
                  </c:pt>
                  <c:pt idx="5">
                    <c:v>0.24321915129272964</c:v>
                  </c:pt>
                  <c:pt idx="6">
                    <c:v>0.56131521315435473</c:v>
                  </c:pt>
                  <c:pt idx="7">
                    <c:v>2.9037642794725511</c:v>
                  </c:pt>
                  <c:pt idx="8">
                    <c:v>0.20779708763510052</c:v>
                  </c:pt>
                  <c:pt idx="9">
                    <c:v>1.406026710667728</c:v>
                  </c:pt>
                  <c:pt idx="10">
                    <c:v>0.51866348006733198</c:v>
                  </c:pt>
                </c:numCache>
              </c:numRef>
            </c:minus>
          </c:errBars>
          <c:cat>
            <c:strRef>
              <c:f>Analysis!$Z$71:$Z$81</c:f>
              <c:strCache>
                <c:ptCount val="11"/>
                <c:pt idx="0">
                  <c:v>Maksoy</c:v>
                </c:pt>
                <c:pt idx="1">
                  <c:v>Namsoy</c:v>
                </c:pt>
                <c:pt idx="2">
                  <c:v>Nyala</c:v>
                </c:pt>
                <c:pt idx="3">
                  <c:v>S823-6-16</c:v>
                </c:pt>
                <c:pt idx="4">
                  <c:v>Saga</c:v>
                </c:pt>
                <c:pt idx="5">
                  <c:v>Samba</c:v>
                </c:pt>
                <c:pt idx="6">
                  <c:v>SB 19</c:v>
                </c:pt>
                <c:pt idx="7">
                  <c:v>Sequel</c:v>
                </c:pt>
                <c:pt idx="8">
                  <c:v>Squire</c:v>
                </c:pt>
                <c:pt idx="9">
                  <c:v>TGx 1987-62F</c:v>
                </c:pt>
                <c:pt idx="10">
                  <c:v>TGx 1987-6F</c:v>
                </c:pt>
              </c:strCache>
            </c:strRef>
          </c:cat>
          <c:val>
            <c:numRef>
              <c:f>Analysis!$AB$71:$AB$81</c:f>
              <c:numCache>
                <c:formatCode>General</c:formatCode>
                <c:ptCount val="11"/>
                <c:pt idx="0">
                  <c:v>1.0458333333333334</c:v>
                </c:pt>
                <c:pt idx="1">
                  <c:v>0.86416666666666664</c:v>
                </c:pt>
                <c:pt idx="2">
                  <c:v>2.3833333333333333</c:v>
                </c:pt>
                <c:pt idx="3">
                  <c:v>0.65749999999999997</c:v>
                </c:pt>
                <c:pt idx="4">
                  <c:v>2.1774999999999998</c:v>
                </c:pt>
                <c:pt idx="5">
                  <c:v>1.1666666666666665</c:v>
                </c:pt>
                <c:pt idx="6">
                  <c:v>1.3274999999999999</c:v>
                </c:pt>
                <c:pt idx="7">
                  <c:v>3.6358333333333301</c:v>
                </c:pt>
                <c:pt idx="8">
                  <c:v>0.60666666666666669</c:v>
                </c:pt>
                <c:pt idx="9">
                  <c:v>2.1799999999999997</c:v>
                </c:pt>
                <c:pt idx="10">
                  <c:v>1.0558333333333334</c:v>
                </c:pt>
              </c:numCache>
            </c:numRef>
          </c:val>
        </c:ser>
        <c:dLbls>
          <c:showLegendKey val="0"/>
          <c:showVal val="0"/>
          <c:showCatName val="0"/>
          <c:showSerName val="0"/>
          <c:showPercent val="0"/>
          <c:showBubbleSize val="0"/>
        </c:dLbls>
        <c:gapWidth val="150"/>
        <c:axId val="183158656"/>
        <c:axId val="183160192"/>
      </c:barChart>
      <c:catAx>
        <c:axId val="183158656"/>
        <c:scaling>
          <c:orientation val="minMax"/>
        </c:scaling>
        <c:delete val="0"/>
        <c:axPos val="b"/>
        <c:numFmt formatCode="General" sourceLinked="1"/>
        <c:majorTickMark val="out"/>
        <c:minorTickMark val="none"/>
        <c:tickLblPos val="nextTo"/>
        <c:crossAx val="183160192"/>
        <c:crosses val="autoZero"/>
        <c:auto val="1"/>
        <c:lblAlgn val="ctr"/>
        <c:lblOffset val="100"/>
        <c:noMultiLvlLbl val="0"/>
      </c:catAx>
      <c:valAx>
        <c:axId val="183160192"/>
        <c:scaling>
          <c:orientation val="minMax"/>
        </c:scaling>
        <c:delete val="0"/>
        <c:axPos val="l"/>
        <c:title>
          <c:tx>
            <c:rich>
              <a:bodyPr rot="-5400000" vert="horz"/>
              <a:lstStyle/>
              <a:p>
                <a:pPr>
                  <a:defRPr/>
                </a:pPr>
                <a:r>
                  <a:rPr lang="en-US"/>
                  <a:t>Soybean average rust score</a:t>
                </a:r>
              </a:p>
            </c:rich>
          </c:tx>
          <c:overlay val="0"/>
        </c:title>
        <c:numFmt formatCode="General" sourceLinked="1"/>
        <c:majorTickMark val="out"/>
        <c:minorTickMark val="none"/>
        <c:tickLblPos val="nextTo"/>
        <c:crossAx val="183158656"/>
        <c:crosses val="autoZero"/>
        <c:crossBetween val="between"/>
      </c:valAx>
    </c:plotArea>
    <c:legend>
      <c:legendPos val="tr"/>
      <c:layout>
        <c:manualLayout>
          <c:xMode val="edge"/>
          <c:yMode val="edge"/>
          <c:x val="0.81855621172353465"/>
          <c:y val="0"/>
          <c:w val="0.18144378827646535"/>
          <c:h val="0.16743438320209972"/>
        </c:manualLayout>
      </c:layout>
      <c:overlay val="1"/>
    </c:legend>
    <c:plotVisOnly val="1"/>
    <c:dispBlanksAs val="gap"/>
    <c:showDLblsOverMax val="0"/>
  </c:chart>
  <c:externalData r:id="rId1">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Analysis!$AA$23</c:f>
              <c:strCache>
                <c:ptCount val="1"/>
                <c:pt idx="0">
                  <c:v>not sprayed</c:v>
                </c:pt>
              </c:strCache>
            </c:strRef>
          </c:tx>
          <c:invertIfNegative val="0"/>
          <c:errBars>
            <c:errBarType val="both"/>
            <c:errValType val="cust"/>
            <c:noEndCap val="0"/>
            <c:plus>
              <c:numRef>
                <c:f>Analysis!$AG$24:$AG$34</c:f>
                <c:numCache>
                  <c:formatCode>General</c:formatCode>
                  <c:ptCount val="11"/>
                  <c:pt idx="0">
                    <c:v>0.28000496027352362</c:v>
                  </c:pt>
                  <c:pt idx="1">
                    <c:v>0.17969882210706586</c:v>
                  </c:pt>
                  <c:pt idx="2">
                    <c:v>8.1009258730101619E-2</c:v>
                  </c:pt>
                  <c:pt idx="3">
                    <c:v>0.13228756555322643</c:v>
                  </c:pt>
                  <c:pt idx="4">
                    <c:v>0.44163227067323846</c:v>
                  </c:pt>
                  <c:pt idx="5">
                    <c:v>0.20155644370746317</c:v>
                  </c:pt>
                  <c:pt idx="6">
                    <c:v>0.16052485529246435</c:v>
                  </c:pt>
                  <c:pt idx="7">
                    <c:v>0.35800008729049226</c:v>
                  </c:pt>
                  <c:pt idx="8">
                    <c:v>0.30551767441952626</c:v>
                  </c:pt>
                  <c:pt idx="9">
                    <c:v>0.53599595769619968</c:v>
                  </c:pt>
                  <c:pt idx="10">
                    <c:v>0.26457513110645847</c:v>
                  </c:pt>
                </c:numCache>
              </c:numRef>
            </c:plus>
            <c:minus>
              <c:numRef>
                <c:f>Analysis!$AG$24:$AG$34</c:f>
                <c:numCache>
                  <c:formatCode>General</c:formatCode>
                  <c:ptCount val="11"/>
                  <c:pt idx="0">
                    <c:v>0.28000496027352362</c:v>
                  </c:pt>
                  <c:pt idx="1">
                    <c:v>0.17969882210706586</c:v>
                  </c:pt>
                  <c:pt idx="2">
                    <c:v>8.1009258730101619E-2</c:v>
                  </c:pt>
                  <c:pt idx="3">
                    <c:v>0.13228756555322643</c:v>
                  </c:pt>
                  <c:pt idx="4">
                    <c:v>0.44163227067323846</c:v>
                  </c:pt>
                  <c:pt idx="5">
                    <c:v>0.20155644370746317</c:v>
                  </c:pt>
                  <c:pt idx="6">
                    <c:v>0.16052485529246435</c:v>
                  </c:pt>
                  <c:pt idx="7">
                    <c:v>0.35800008729049226</c:v>
                  </c:pt>
                  <c:pt idx="8">
                    <c:v>0.30551767441952626</c:v>
                  </c:pt>
                  <c:pt idx="9">
                    <c:v>0.53599595769619968</c:v>
                  </c:pt>
                  <c:pt idx="10">
                    <c:v>0.26457513110645847</c:v>
                  </c:pt>
                </c:numCache>
              </c:numRef>
            </c:minus>
          </c:errBars>
          <c:cat>
            <c:strRef>
              <c:f>Analysis!$Z$24:$Z$34</c:f>
              <c:strCache>
                <c:ptCount val="11"/>
                <c:pt idx="0">
                  <c:v>Maksoy</c:v>
                </c:pt>
                <c:pt idx="1">
                  <c:v>Namsoy</c:v>
                </c:pt>
                <c:pt idx="2">
                  <c:v>Nyala</c:v>
                </c:pt>
                <c:pt idx="3">
                  <c:v>S823-6-16</c:v>
                </c:pt>
                <c:pt idx="4">
                  <c:v>Saga</c:v>
                </c:pt>
                <c:pt idx="5">
                  <c:v>Samba</c:v>
                </c:pt>
                <c:pt idx="6">
                  <c:v>SB 19</c:v>
                </c:pt>
                <c:pt idx="7">
                  <c:v>Sequel</c:v>
                </c:pt>
                <c:pt idx="8">
                  <c:v>Squire</c:v>
                </c:pt>
                <c:pt idx="9">
                  <c:v>TGx 1987-62F</c:v>
                </c:pt>
                <c:pt idx="10">
                  <c:v>TGx 1987-6F</c:v>
                </c:pt>
              </c:strCache>
            </c:strRef>
          </c:cat>
          <c:val>
            <c:numRef>
              <c:f>Analysis!$AA$24:$AA$34</c:f>
              <c:numCache>
                <c:formatCode>General</c:formatCode>
                <c:ptCount val="11"/>
                <c:pt idx="0">
                  <c:v>2.5583333333333336</c:v>
                </c:pt>
                <c:pt idx="1">
                  <c:v>2.2249999999999996</c:v>
                </c:pt>
                <c:pt idx="2">
                  <c:v>2.4749999999999996</c:v>
                </c:pt>
                <c:pt idx="3">
                  <c:v>2.6500000000000004</c:v>
                </c:pt>
                <c:pt idx="4">
                  <c:v>2.8270833333333334</c:v>
                </c:pt>
                <c:pt idx="5">
                  <c:v>3.0750000000000002</c:v>
                </c:pt>
                <c:pt idx="6">
                  <c:v>2.8187500000000001</c:v>
                </c:pt>
                <c:pt idx="7">
                  <c:v>2.7562500000000001</c:v>
                </c:pt>
                <c:pt idx="8">
                  <c:v>2.552777777777778</c:v>
                </c:pt>
                <c:pt idx="9">
                  <c:v>2.5750000000000002</c:v>
                </c:pt>
                <c:pt idx="10">
                  <c:v>3.5</c:v>
                </c:pt>
              </c:numCache>
            </c:numRef>
          </c:val>
        </c:ser>
        <c:ser>
          <c:idx val="1"/>
          <c:order val="1"/>
          <c:tx>
            <c:strRef>
              <c:f>Analysis!$AB$23</c:f>
              <c:strCache>
                <c:ptCount val="1"/>
                <c:pt idx="0">
                  <c:v>sprayed</c:v>
                </c:pt>
              </c:strCache>
            </c:strRef>
          </c:tx>
          <c:invertIfNegative val="0"/>
          <c:errBars>
            <c:errBarType val="both"/>
            <c:errValType val="cust"/>
            <c:noEndCap val="0"/>
            <c:plus>
              <c:numRef>
                <c:f>Analysis!$AH$24:$AH$34</c:f>
                <c:numCache>
                  <c:formatCode>General</c:formatCode>
                  <c:ptCount val="11"/>
                  <c:pt idx="0">
                    <c:v>7.0710678118651907E-2</c:v>
                  </c:pt>
                  <c:pt idx="1">
                    <c:v>0.35355339059327417</c:v>
                  </c:pt>
                  <c:pt idx="2">
                    <c:v>0.1493039405597415</c:v>
                  </c:pt>
                  <c:pt idx="3">
                    <c:v>0.27500000000000036</c:v>
                  </c:pt>
                  <c:pt idx="4">
                    <c:v>0.21322045624883806</c:v>
                  </c:pt>
                  <c:pt idx="5">
                    <c:v>0.35139231992176523</c:v>
                  </c:pt>
                  <c:pt idx="6">
                    <c:v>0.17320508075688845</c:v>
                  </c:pt>
                  <c:pt idx="7">
                    <c:v>8.5391256383002892E-2</c:v>
                  </c:pt>
                  <c:pt idx="8">
                    <c:v>0.22395591083961075</c:v>
                  </c:pt>
                  <c:pt idx="9">
                    <c:v>0.5424638009200643</c:v>
                  </c:pt>
                  <c:pt idx="10">
                    <c:v>0.29720924166878276</c:v>
                  </c:pt>
                </c:numCache>
              </c:numRef>
            </c:plus>
            <c:minus>
              <c:numRef>
                <c:f>Analysis!$AH$24:$AH$34</c:f>
                <c:numCache>
                  <c:formatCode>General</c:formatCode>
                  <c:ptCount val="11"/>
                  <c:pt idx="0">
                    <c:v>7.0710678118651907E-2</c:v>
                  </c:pt>
                  <c:pt idx="1">
                    <c:v>0.35355339059327417</c:v>
                  </c:pt>
                  <c:pt idx="2">
                    <c:v>0.1493039405597415</c:v>
                  </c:pt>
                  <c:pt idx="3">
                    <c:v>0.27500000000000036</c:v>
                  </c:pt>
                  <c:pt idx="4">
                    <c:v>0.21322045624883806</c:v>
                  </c:pt>
                  <c:pt idx="5">
                    <c:v>0.35139231992176523</c:v>
                  </c:pt>
                  <c:pt idx="6">
                    <c:v>0.17320508075688845</c:v>
                  </c:pt>
                  <c:pt idx="7">
                    <c:v>8.5391256383002892E-2</c:v>
                  </c:pt>
                  <c:pt idx="8">
                    <c:v>0.22395591083961075</c:v>
                  </c:pt>
                  <c:pt idx="9">
                    <c:v>0.5424638009200643</c:v>
                  </c:pt>
                  <c:pt idx="10">
                    <c:v>0.29720924166878276</c:v>
                  </c:pt>
                </c:numCache>
              </c:numRef>
            </c:minus>
          </c:errBars>
          <c:cat>
            <c:strRef>
              <c:f>Analysis!$Z$24:$Z$34</c:f>
              <c:strCache>
                <c:ptCount val="11"/>
                <c:pt idx="0">
                  <c:v>Maksoy</c:v>
                </c:pt>
                <c:pt idx="1">
                  <c:v>Namsoy</c:v>
                </c:pt>
                <c:pt idx="2">
                  <c:v>Nyala</c:v>
                </c:pt>
                <c:pt idx="3">
                  <c:v>S823-6-16</c:v>
                </c:pt>
                <c:pt idx="4">
                  <c:v>Saga</c:v>
                </c:pt>
                <c:pt idx="5">
                  <c:v>Samba</c:v>
                </c:pt>
                <c:pt idx="6">
                  <c:v>SB 19</c:v>
                </c:pt>
                <c:pt idx="7">
                  <c:v>Sequel</c:v>
                </c:pt>
                <c:pt idx="8">
                  <c:v>Squire</c:v>
                </c:pt>
                <c:pt idx="9">
                  <c:v>TGx 1987-62F</c:v>
                </c:pt>
                <c:pt idx="10">
                  <c:v>TGx 1987-6F</c:v>
                </c:pt>
              </c:strCache>
            </c:strRef>
          </c:cat>
          <c:val>
            <c:numRef>
              <c:f>Analysis!$AB$24:$AB$34</c:f>
              <c:numCache>
                <c:formatCode>General</c:formatCode>
                <c:ptCount val="11"/>
                <c:pt idx="0">
                  <c:v>2.3000000000000003</c:v>
                </c:pt>
                <c:pt idx="1">
                  <c:v>2.2999999999999998</c:v>
                </c:pt>
                <c:pt idx="2">
                  <c:v>2.4249999999999998</c:v>
                </c:pt>
                <c:pt idx="3">
                  <c:v>2.6749999999999998</c:v>
                </c:pt>
                <c:pt idx="4">
                  <c:v>2.9388888888888891</c:v>
                </c:pt>
                <c:pt idx="5">
                  <c:v>2.6312500000000001</c:v>
                </c:pt>
                <c:pt idx="6">
                  <c:v>2.5</c:v>
                </c:pt>
                <c:pt idx="7">
                  <c:v>2.8249999999999997</c:v>
                </c:pt>
                <c:pt idx="8">
                  <c:v>2.5125000000000002</c:v>
                </c:pt>
                <c:pt idx="9">
                  <c:v>3.2305555555555552</c:v>
                </c:pt>
                <c:pt idx="10">
                  <c:v>3.5</c:v>
                </c:pt>
              </c:numCache>
            </c:numRef>
          </c:val>
        </c:ser>
        <c:dLbls>
          <c:showLegendKey val="0"/>
          <c:showVal val="0"/>
          <c:showCatName val="0"/>
          <c:showSerName val="0"/>
          <c:showPercent val="0"/>
          <c:showBubbleSize val="0"/>
        </c:dLbls>
        <c:gapWidth val="150"/>
        <c:axId val="183268480"/>
        <c:axId val="183270016"/>
      </c:barChart>
      <c:catAx>
        <c:axId val="183268480"/>
        <c:scaling>
          <c:orientation val="minMax"/>
        </c:scaling>
        <c:delete val="0"/>
        <c:axPos val="b"/>
        <c:numFmt formatCode="General" sourceLinked="1"/>
        <c:majorTickMark val="out"/>
        <c:minorTickMark val="none"/>
        <c:tickLblPos val="nextTo"/>
        <c:crossAx val="183270016"/>
        <c:crosses val="autoZero"/>
        <c:auto val="1"/>
        <c:lblAlgn val="ctr"/>
        <c:lblOffset val="100"/>
        <c:noMultiLvlLbl val="0"/>
      </c:catAx>
      <c:valAx>
        <c:axId val="183270016"/>
        <c:scaling>
          <c:orientation val="minMax"/>
        </c:scaling>
        <c:delete val="0"/>
        <c:axPos val="l"/>
        <c:title>
          <c:tx>
            <c:rich>
              <a:bodyPr rot="-5400000" vert="horz"/>
              <a:lstStyle/>
              <a:p>
                <a:pPr>
                  <a:defRPr/>
                </a:pPr>
                <a:r>
                  <a:rPr lang="en-US"/>
                  <a:t>Soybean nodule score</a:t>
                </a:r>
              </a:p>
            </c:rich>
          </c:tx>
          <c:overlay val="0"/>
        </c:title>
        <c:numFmt formatCode="General" sourceLinked="1"/>
        <c:majorTickMark val="out"/>
        <c:minorTickMark val="none"/>
        <c:tickLblPos val="nextTo"/>
        <c:crossAx val="183268480"/>
        <c:crosses val="autoZero"/>
        <c:crossBetween val="between"/>
        <c:majorUnit val="1"/>
      </c:valAx>
    </c:plotArea>
    <c:legend>
      <c:legendPos val="tr"/>
      <c:layout>
        <c:manualLayout>
          <c:xMode val="edge"/>
          <c:yMode val="edge"/>
          <c:x val="0.67411176727909006"/>
          <c:y val="0"/>
          <c:w val="0.32588823272090994"/>
          <c:h val="8.8730679498396026E-2"/>
        </c:manualLayout>
      </c:layout>
      <c:overlay val="1"/>
    </c:legend>
    <c:plotVisOnly val="1"/>
    <c:dispBlanksAs val="gap"/>
    <c:showDLblsOverMax val="0"/>
  </c:chart>
  <c:externalData r:id="rId1">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Analysis!$AA$38</c:f>
              <c:strCache>
                <c:ptCount val="1"/>
                <c:pt idx="0">
                  <c:v>not sprayed</c:v>
                </c:pt>
              </c:strCache>
            </c:strRef>
          </c:tx>
          <c:invertIfNegative val="0"/>
          <c:errBars>
            <c:errBarType val="both"/>
            <c:errValType val="cust"/>
            <c:noEndCap val="0"/>
            <c:plus>
              <c:numRef>
                <c:f>Analysis!$AG$39:$AG$49</c:f>
                <c:numCache>
                  <c:formatCode>General</c:formatCode>
                  <c:ptCount val="11"/>
                  <c:pt idx="0">
                    <c:v>90.27807211681737</c:v>
                  </c:pt>
                  <c:pt idx="1">
                    <c:v>59.250981127203865</c:v>
                  </c:pt>
                  <c:pt idx="2">
                    <c:v>247.86683944116146</c:v>
                  </c:pt>
                  <c:pt idx="3">
                    <c:v>136.88895824751657</c:v>
                  </c:pt>
                  <c:pt idx="4">
                    <c:v>235.00008049869376</c:v>
                  </c:pt>
                  <c:pt idx="5">
                    <c:v>43.870156145005041</c:v>
                  </c:pt>
                  <c:pt idx="6">
                    <c:v>48.219420261310141</c:v>
                  </c:pt>
                  <c:pt idx="7">
                    <c:v>140.37285635849338</c:v>
                  </c:pt>
                  <c:pt idx="8">
                    <c:v>126.2332432944485</c:v>
                  </c:pt>
                  <c:pt idx="9">
                    <c:v>623.58327509400738</c:v>
                  </c:pt>
                  <c:pt idx="10">
                    <c:v>221.02094677863056</c:v>
                  </c:pt>
                </c:numCache>
              </c:numRef>
            </c:plus>
            <c:minus>
              <c:numRef>
                <c:f>Analysis!$AG$39:$AG$49</c:f>
                <c:numCache>
                  <c:formatCode>General</c:formatCode>
                  <c:ptCount val="11"/>
                  <c:pt idx="0">
                    <c:v>90.27807211681737</c:v>
                  </c:pt>
                  <c:pt idx="1">
                    <c:v>59.250981127203865</c:v>
                  </c:pt>
                  <c:pt idx="2">
                    <c:v>247.86683944116146</c:v>
                  </c:pt>
                  <c:pt idx="3">
                    <c:v>136.88895824751657</c:v>
                  </c:pt>
                  <c:pt idx="4">
                    <c:v>235.00008049869376</c:v>
                  </c:pt>
                  <c:pt idx="5">
                    <c:v>43.870156145005041</c:v>
                  </c:pt>
                  <c:pt idx="6">
                    <c:v>48.219420261310141</c:v>
                  </c:pt>
                  <c:pt idx="7">
                    <c:v>140.37285635849338</c:v>
                  </c:pt>
                  <c:pt idx="8">
                    <c:v>126.2332432944485</c:v>
                  </c:pt>
                  <c:pt idx="9">
                    <c:v>623.58327509400738</c:v>
                  </c:pt>
                  <c:pt idx="10">
                    <c:v>221.02094677863056</c:v>
                  </c:pt>
                </c:numCache>
              </c:numRef>
            </c:minus>
          </c:errBars>
          <c:cat>
            <c:strRef>
              <c:f>Analysis!$Z$39:$Z$49</c:f>
              <c:strCache>
                <c:ptCount val="11"/>
                <c:pt idx="0">
                  <c:v>Maksoy</c:v>
                </c:pt>
                <c:pt idx="1">
                  <c:v>Namsoy</c:v>
                </c:pt>
                <c:pt idx="2">
                  <c:v>Nyala</c:v>
                </c:pt>
                <c:pt idx="3">
                  <c:v>S823-6-16</c:v>
                </c:pt>
                <c:pt idx="4">
                  <c:v>Saga</c:v>
                </c:pt>
                <c:pt idx="5">
                  <c:v>Samba</c:v>
                </c:pt>
                <c:pt idx="6">
                  <c:v>SB 19</c:v>
                </c:pt>
                <c:pt idx="7">
                  <c:v>Sequel</c:v>
                </c:pt>
                <c:pt idx="8">
                  <c:v>Squire</c:v>
                </c:pt>
                <c:pt idx="9">
                  <c:v>TGx 1987-62F</c:v>
                </c:pt>
                <c:pt idx="10">
                  <c:v>TGx 1987-6F</c:v>
                </c:pt>
              </c:strCache>
            </c:strRef>
          </c:cat>
          <c:val>
            <c:numRef>
              <c:f>Analysis!$AA$39:$AA$49</c:f>
              <c:numCache>
                <c:formatCode>General</c:formatCode>
                <c:ptCount val="11"/>
                <c:pt idx="0">
                  <c:v>454.05960596039586</c:v>
                </c:pt>
                <c:pt idx="1">
                  <c:v>456.69239999921513</c:v>
                </c:pt>
                <c:pt idx="2">
                  <c:v>726.776547369269</c:v>
                </c:pt>
                <c:pt idx="3">
                  <c:v>1068.2829302960345</c:v>
                </c:pt>
                <c:pt idx="4">
                  <c:v>1271.3193914061014</c:v>
                </c:pt>
                <c:pt idx="5">
                  <c:v>477.26043944147636</c:v>
                </c:pt>
                <c:pt idx="6">
                  <c:v>440.51839488527838</c:v>
                </c:pt>
                <c:pt idx="7">
                  <c:v>1058.1845808902317</c:v>
                </c:pt>
                <c:pt idx="8">
                  <c:v>993.133216367513</c:v>
                </c:pt>
                <c:pt idx="9">
                  <c:v>1260.8083425369687</c:v>
                </c:pt>
                <c:pt idx="10">
                  <c:v>971.14034497443731</c:v>
                </c:pt>
              </c:numCache>
            </c:numRef>
          </c:val>
        </c:ser>
        <c:ser>
          <c:idx val="1"/>
          <c:order val="1"/>
          <c:tx>
            <c:strRef>
              <c:f>Analysis!$AB$38</c:f>
              <c:strCache>
                <c:ptCount val="1"/>
                <c:pt idx="0">
                  <c:v>sprayed</c:v>
                </c:pt>
              </c:strCache>
            </c:strRef>
          </c:tx>
          <c:invertIfNegative val="0"/>
          <c:errBars>
            <c:errBarType val="both"/>
            <c:errValType val="cust"/>
            <c:noEndCap val="0"/>
            <c:plus>
              <c:numRef>
                <c:f>Analysis!$AH$39:$AH$49</c:f>
                <c:numCache>
                  <c:formatCode>General</c:formatCode>
                  <c:ptCount val="11"/>
                  <c:pt idx="0">
                    <c:v>25.218402632610641</c:v>
                  </c:pt>
                  <c:pt idx="1">
                    <c:v>156.14212302533679</c:v>
                  </c:pt>
                  <c:pt idx="2">
                    <c:v>167.91576005709155</c:v>
                  </c:pt>
                  <c:pt idx="3">
                    <c:v>66.464337258137718</c:v>
                  </c:pt>
                  <c:pt idx="4">
                    <c:v>318.36127844855361</c:v>
                  </c:pt>
                  <c:pt idx="5">
                    <c:v>92.93320789507051</c:v>
                  </c:pt>
                  <c:pt idx="6">
                    <c:v>203.60868557181394</c:v>
                  </c:pt>
                  <c:pt idx="7">
                    <c:v>287.52430507126928</c:v>
                  </c:pt>
                  <c:pt idx="8">
                    <c:v>215.45713230522307</c:v>
                  </c:pt>
                  <c:pt idx="9">
                    <c:v>119.40647132901528</c:v>
                  </c:pt>
                  <c:pt idx="10">
                    <c:v>78.494105591968577</c:v>
                  </c:pt>
                </c:numCache>
              </c:numRef>
            </c:plus>
            <c:minus>
              <c:numRef>
                <c:f>Analysis!$AH$39:$AH$49</c:f>
                <c:numCache>
                  <c:formatCode>General</c:formatCode>
                  <c:ptCount val="11"/>
                  <c:pt idx="0">
                    <c:v>25.218402632610641</c:v>
                  </c:pt>
                  <c:pt idx="1">
                    <c:v>156.14212302533679</c:v>
                  </c:pt>
                  <c:pt idx="2">
                    <c:v>167.91576005709155</c:v>
                  </c:pt>
                  <c:pt idx="3">
                    <c:v>66.464337258137718</c:v>
                  </c:pt>
                  <c:pt idx="4">
                    <c:v>318.36127844855361</c:v>
                  </c:pt>
                  <c:pt idx="5">
                    <c:v>92.93320789507051</c:v>
                  </c:pt>
                  <c:pt idx="6">
                    <c:v>203.60868557181394</c:v>
                  </c:pt>
                  <c:pt idx="7">
                    <c:v>287.52430507126928</c:v>
                  </c:pt>
                  <c:pt idx="8">
                    <c:v>215.45713230522307</c:v>
                  </c:pt>
                  <c:pt idx="9">
                    <c:v>119.40647132901528</c:v>
                  </c:pt>
                  <c:pt idx="10">
                    <c:v>78.494105591968577</c:v>
                  </c:pt>
                </c:numCache>
              </c:numRef>
            </c:minus>
          </c:errBars>
          <c:cat>
            <c:strRef>
              <c:f>Analysis!$Z$39:$Z$49</c:f>
              <c:strCache>
                <c:ptCount val="11"/>
                <c:pt idx="0">
                  <c:v>Maksoy</c:v>
                </c:pt>
                <c:pt idx="1">
                  <c:v>Namsoy</c:v>
                </c:pt>
                <c:pt idx="2">
                  <c:v>Nyala</c:v>
                </c:pt>
                <c:pt idx="3">
                  <c:v>S823-6-16</c:v>
                </c:pt>
                <c:pt idx="4">
                  <c:v>Saga</c:v>
                </c:pt>
                <c:pt idx="5">
                  <c:v>Samba</c:v>
                </c:pt>
                <c:pt idx="6">
                  <c:v>SB 19</c:v>
                </c:pt>
                <c:pt idx="7">
                  <c:v>Sequel</c:v>
                </c:pt>
                <c:pt idx="8">
                  <c:v>Squire</c:v>
                </c:pt>
                <c:pt idx="9">
                  <c:v>TGx 1987-62F</c:v>
                </c:pt>
                <c:pt idx="10">
                  <c:v>TGx 1987-6F</c:v>
                </c:pt>
              </c:strCache>
            </c:strRef>
          </c:cat>
          <c:val>
            <c:numRef>
              <c:f>Analysis!$AB$39:$AB$49</c:f>
              <c:numCache>
                <c:formatCode>General</c:formatCode>
                <c:ptCount val="11"/>
                <c:pt idx="0">
                  <c:v>1163.1935848356625</c:v>
                </c:pt>
                <c:pt idx="1">
                  <c:v>538.1634132686886</c:v>
                </c:pt>
                <c:pt idx="2">
                  <c:v>1062.3198621933993</c:v>
                </c:pt>
                <c:pt idx="3">
                  <c:v>1200.8717030781174</c:v>
                </c:pt>
                <c:pt idx="4">
                  <c:v>1265.5551062829397</c:v>
                </c:pt>
                <c:pt idx="5">
                  <c:v>975.09622598271505</c:v>
                </c:pt>
                <c:pt idx="6">
                  <c:v>1150.5503780129238</c:v>
                </c:pt>
                <c:pt idx="7">
                  <c:v>1463.6000439870384</c:v>
                </c:pt>
                <c:pt idx="8">
                  <c:v>1306.8612559145699</c:v>
                </c:pt>
                <c:pt idx="9">
                  <c:v>508.94556811850623</c:v>
                </c:pt>
                <c:pt idx="10">
                  <c:v>487.8284217808922</c:v>
                </c:pt>
              </c:numCache>
            </c:numRef>
          </c:val>
        </c:ser>
        <c:dLbls>
          <c:showLegendKey val="0"/>
          <c:showVal val="0"/>
          <c:showCatName val="0"/>
          <c:showSerName val="0"/>
          <c:showPercent val="0"/>
          <c:showBubbleSize val="0"/>
        </c:dLbls>
        <c:gapWidth val="150"/>
        <c:axId val="183316864"/>
        <c:axId val="183318400"/>
      </c:barChart>
      <c:catAx>
        <c:axId val="183316864"/>
        <c:scaling>
          <c:orientation val="minMax"/>
        </c:scaling>
        <c:delete val="0"/>
        <c:axPos val="b"/>
        <c:numFmt formatCode="General" sourceLinked="1"/>
        <c:majorTickMark val="out"/>
        <c:minorTickMark val="none"/>
        <c:tickLblPos val="nextTo"/>
        <c:crossAx val="183318400"/>
        <c:crosses val="autoZero"/>
        <c:auto val="1"/>
        <c:lblAlgn val="ctr"/>
        <c:lblOffset val="100"/>
        <c:noMultiLvlLbl val="0"/>
      </c:catAx>
      <c:valAx>
        <c:axId val="183318400"/>
        <c:scaling>
          <c:orientation val="minMax"/>
        </c:scaling>
        <c:delete val="0"/>
        <c:axPos val="l"/>
        <c:title>
          <c:tx>
            <c:rich>
              <a:bodyPr rot="-5400000" vert="horz"/>
              <a:lstStyle/>
              <a:p>
                <a:pPr>
                  <a:defRPr/>
                </a:pPr>
                <a:r>
                  <a:rPr lang="en-US"/>
                  <a:t>Soybean grain yield (kg/ha)</a:t>
                </a:r>
              </a:p>
            </c:rich>
          </c:tx>
          <c:overlay val="0"/>
        </c:title>
        <c:numFmt formatCode="General" sourceLinked="1"/>
        <c:majorTickMark val="out"/>
        <c:minorTickMark val="none"/>
        <c:tickLblPos val="nextTo"/>
        <c:crossAx val="183316864"/>
        <c:crosses val="autoZero"/>
        <c:crossBetween val="between"/>
        <c:majorUnit val="500"/>
      </c:valAx>
    </c:plotArea>
    <c:legend>
      <c:legendPos val="tr"/>
      <c:layout>
        <c:manualLayout>
          <c:xMode val="edge"/>
          <c:yMode val="edge"/>
          <c:x val="0.81300065616797912"/>
          <c:y val="0"/>
          <c:w val="0.18144378827646535"/>
          <c:h val="0.16743438320209972"/>
        </c:manualLayout>
      </c:layout>
      <c:overlay val="1"/>
    </c:legend>
    <c:plotVisOnly val="1"/>
    <c:dispBlanksAs val="gap"/>
    <c:showDLblsOverMax val="0"/>
  </c:chart>
  <c:externalData r:id="rId1">
    <c:autoUpdate val="0"/>
  </c:externalData>
</c:chartSpace>
</file>

<file path=word/charts/chart3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Analysis!$AA$54</c:f>
              <c:strCache>
                <c:ptCount val="1"/>
                <c:pt idx="0">
                  <c:v>not sprayed</c:v>
                </c:pt>
              </c:strCache>
            </c:strRef>
          </c:tx>
          <c:invertIfNegative val="0"/>
          <c:errBars>
            <c:errBarType val="both"/>
            <c:errValType val="cust"/>
            <c:noEndCap val="0"/>
            <c:plus>
              <c:numRef>
                <c:f>Analysis!$AG$55:$AG$65</c:f>
                <c:numCache>
                  <c:formatCode>General</c:formatCode>
                  <c:ptCount val="11"/>
                  <c:pt idx="0">
                    <c:v>91.727993753687414</c:v>
                  </c:pt>
                  <c:pt idx="1">
                    <c:v>185.1613110312739</c:v>
                  </c:pt>
                  <c:pt idx="2">
                    <c:v>153.5237520464047</c:v>
                  </c:pt>
                  <c:pt idx="3">
                    <c:v>142.52793509162004</c:v>
                  </c:pt>
                  <c:pt idx="4">
                    <c:v>246.87960186452057</c:v>
                  </c:pt>
                  <c:pt idx="5">
                    <c:v>85.894468440483877</c:v>
                  </c:pt>
                  <c:pt idx="6">
                    <c:v>101.03581922169155</c:v>
                  </c:pt>
                  <c:pt idx="7">
                    <c:v>124.19275315943194</c:v>
                  </c:pt>
                  <c:pt idx="8">
                    <c:v>191.01633065232349</c:v>
                  </c:pt>
                  <c:pt idx="9">
                    <c:v>248.74680744403878</c:v>
                  </c:pt>
                  <c:pt idx="10">
                    <c:v>315.26051302430682</c:v>
                  </c:pt>
                </c:numCache>
              </c:numRef>
            </c:plus>
            <c:minus>
              <c:numRef>
                <c:f>Analysis!$AG$55:$AG$65</c:f>
                <c:numCache>
                  <c:formatCode>General</c:formatCode>
                  <c:ptCount val="11"/>
                  <c:pt idx="0">
                    <c:v>91.727993753687414</c:v>
                  </c:pt>
                  <c:pt idx="1">
                    <c:v>185.1613110312739</c:v>
                  </c:pt>
                  <c:pt idx="2">
                    <c:v>153.5237520464047</c:v>
                  </c:pt>
                  <c:pt idx="3">
                    <c:v>142.52793509162004</c:v>
                  </c:pt>
                  <c:pt idx="4">
                    <c:v>246.87960186452057</c:v>
                  </c:pt>
                  <c:pt idx="5">
                    <c:v>85.894468440483877</c:v>
                  </c:pt>
                  <c:pt idx="6">
                    <c:v>101.03581922169155</c:v>
                  </c:pt>
                  <c:pt idx="7">
                    <c:v>124.19275315943194</c:v>
                  </c:pt>
                  <c:pt idx="8">
                    <c:v>191.01633065232349</c:v>
                  </c:pt>
                  <c:pt idx="9">
                    <c:v>248.74680744403878</c:v>
                  </c:pt>
                  <c:pt idx="10">
                    <c:v>315.26051302430682</c:v>
                  </c:pt>
                </c:numCache>
              </c:numRef>
            </c:minus>
          </c:errBars>
          <c:cat>
            <c:strRef>
              <c:f>Analysis!$Z$55:$Z$65</c:f>
              <c:strCache>
                <c:ptCount val="11"/>
                <c:pt idx="0">
                  <c:v>Maksoy</c:v>
                </c:pt>
                <c:pt idx="1">
                  <c:v>Namsoy</c:v>
                </c:pt>
                <c:pt idx="2">
                  <c:v>Nyala</c:v>
                </c:pt>
                <c:pt idx="3">
                  <c:v>S823-6-16</c:v>
                </c:pt>
                <c:pt idx="4">
                  <c:v>Saga</c:v>
                </c:pt>
                <c:pt idx="5">
                  <c:v>Samba</c:v>
                </c:pt>
                <c:pt idx="6">
                  <c:v>SB 19</c:v>
                </c:pt>
                <c:pt idx="7">
                  <c:v>Sequel</c:v>
                </c:pt>
                <c:pt idx="8">
                  <c:v>Squire</c:v>
                </c:pt>
                <c:pt idx="9">
                  <c:v>TGx 1987-62F</c:v>
                </c:pt>
                <c:pt idx="10">
                  <c:v>TGx 1987-6F</c:v>
                </c:pt>
              </c:strCache>
            </c:strRef>
          </c:cat>
          <c:val>
            <c:numRef>
              <c:f>Analysis!$AA$55:$AA$65</c:f>
              <c:numCache>
                <c:formatCode>General</c:formatCode>
                <c:ptCount val="11"/>
                <c:pt idx="0">
                  <c:v>1065.3834923086629</c:v>
                </c:pt>
                <c:pt idx="1">
                  <c:v>1372.4930003490517</c:v>
                </c:pt>
                <c:pt idx="2">
                  <c:v>846.03429182873265</c:v>
                </c:pt>
                <c:pt idx="3">
                  <c:v>1331.7184563954479</c:v>
                </c:pt>
                <c:pt idx="4">
                  <c:v>1540.1585261611317</c:v>
                </c:pt>
                <c:pt idx="5">
                  <c:v>937.28382293603045</c:v>
                </c:pt>
                <c:pt idx="6">
                  <c:v>1045.0023708936017</c:v>
                </c:pt>
                <c:pt idx="7">
                  <c:v>1249.3465699084586</c:v>
                </c:pt>
                <c:pt idx="8">
                  <c:v>1622.8853663200625</c:v>
                </c:pt>
                <c:pt idx="9">
                  <c:v>1784.1667744806978</c:v>
                </c:pt>
                <c:pt idx="10">
                  <c:v>1838.1775353425967</c:v>
                </c:pt>
              </c:numCache>
            </c:numRef>
          </c:val>
        </c:ser>
        <c:ser>
          <c:idx val="1"/>
          <c:order val="1"/>
          <c:tx>
            <c:strRef>
              <c:f>Analysis!$AB$54</c:f>
              <c:strCache>
                <c:ptCount val="1"/>
                <c:pt idx="0">
                  <c:v>sprayed</c:v>
                </c:pt>
              </c:strCache>
            </c:strRef>
          </c:tx>
          <c:invertIfNegative val="0"/>
          <c:errBars>
            <c:errBarType val="both"/>
            <c:errValType val="cust"/>
            <c:noEndCap val="0"/>
            <c:plus>
              <c:numRef>
                <c:f>Analysis!$AH$55:$AH$65</c:f>
                <c:numCache>
                  <c:formatCode>General</c:formatCode>
                  <c:ptCount val="11"/>
                  <c:pt idx="0">
                    <c:v>237.67004223654729</c:v>
                  </c:pt>
                  <c:pt idx="1">
                    <c:v>297.88718787631416</c:v>
                  </c:pt>
                  <c:pt idx="2">
                    <c:v>65.939426739466526</c:v>
                  </c:pt>
                  <c:pt idx="3">
                    <c:v>77.782527983445988</c:v>
                  </c:pt>
                  <c:pt idx="4">
                    <c:v>334.44497408918204</c:v>
                  </c:pt>
                  <c:pt idx="5">
                    <c:v>273.31146851938377</c:v>
                  </c:pt>
                  <c:pt idx="6">
                    <c:v>104.12930493251993</c:v>
                  </c:pt>
                  <c:pt idx="7">
                    <c:v>145.44929120306918</c:v>
                  </c:pt>
                  <c:pt idx="8">
                    <c:v>371.43673620152856</c:v>
                  </c:pt>
                  <c:pt idx="9">
                    <c:v>287.7598821380721</c:v>
                  </c:pt>
                  <c:pt idx="10">
                    <c:v>174.56227063519947</c:v>
                  </c:pt>
                </c:numCache>
              </c:numRef>
            </c:plus>
            <c:minus>
              <c:numRef>
                <c:f>Analysis!$AH$55:$AH$65</c:f>
                <c:numCache>
                  <c:formatCode>General</c:formatCode>
                  <c:ptCount val="11"/>
                  <c:pt idx="0">
                    <c:v>237.67004223654729</c:v>
                  </c:pt>
                  <c:pt idx="1">
                    <c:v>297.88718787631416</c:v>
                  </c:pt>
                  <c:pt idx="2">
                    <c:v>65.939426739466526</c:v>
                  </c:pt>
                  <c:pt idx="3">
                    <c:v>77.782527983445988</c:v>
                  </c:pt>
                  <c:pt idx="4">
                    <c:v>334.44497408918204</c:v>
                  </c:pt>
                  <c:pt idx="5">
                    <c:v>273.31146851938377</c:v>
                  </c:pt>
                  <c:pt idx="6">
                    <c:v>104.12930493251993</c:v>
                  </c:pt>
                  <c:pt idx="7">
                    <c:v>145.44929120306918</c:v>
                  </c:pt>
                  <c:pt idx="8">
                    <c:v>371.43673620152856</c:v>
                  </c:pt>
                  <c:pt idx="9">
                    <c:v>287.7598821380721</c:v>
                  </c:pt>
                  <c:pt idx="10">
                    <c:v>174.56227063519947</c:v>
                  </c:pt>
                </c:numCache>
              </c:numRef>
            </c:minus>
          </c:errBars>
          <c:cat>
            <c:strRef>
              <c:f>Analysis!$Z$55:$Z$65</c:f>
              <c:strCache>
                <c:ptCount val="11"/>
                <c:pt idx="0">
                  <c:v>Maksoy</c:v>
                </c:pt>
                <c:pt idx="1">
                  <c:v>Namsoy</c:v>
                </c:pt>
                <c:pt idx="2">
                  <c:v>Nyala</c:v>
                </c:pt>
                <c:pt idx="3">
                  <c:v>S823-6-16</c:v>
                </c:pt>
                <c:pt idx="4">
                  <c:v>Saga</c:v>
                </c:pt>
                <c:pt idx="5">
                  <c:v>Samba</c:v>
                </c:pt>
                <c:pt idx="6">
                  <c:v>SB 19</c:v>
                </c:pt>
                <c:pt idx="7">
                  <c:v>Sequel</c:v>
                </c:pt>
                <c:pt idx="8">
                  <c:v>Squire</c:v>
                </c:pt>
                <c:pt idx="9">
                  <c:v>TGx 1987-62F</c:v>
                </c:pt>
                <c:pt idx="10">
                  <c:v>TGx 1987-6F</c:v>
                </c:pt>
              </c:strCache>
            </c:strRef>
          </c:cat>
          <c:val>
            <c:numRef>
              <c:f>Analysis!$AB$55:$AB$65</c:f>
              <c:numCache>
                <c:formatCode>General</c:formatCode>
                <c:ptCount val="11"/>
                <c:pt idx="0">
                  <c:v>1634.991173573158</c:v>
                </c:pt>
                <c:pt idx="1">
                  <c:v>1748.0473632577869</c:v>
                </c:pt>
                <c:pt idx="2">
                  <c:v>908.55500505819714</c:v>
                </c:pt>
                <c:pt idx="3">
                  <c:v>1585.9072332161118</c:v>
                </c:pt>
                <c:pt idx="4">
                  <c:v>1542.9022628591272</c:v>
                </c:pt>
                <c:pt idx="5">
                  <c:v>1371.5606947812419</c:v>
                </c:pt>
                <c:pt idx="6">
                  <c:v>1415.3873998400934</c:v>
                </c:pt>
                <c:pt idx="7">
                  <c:v>1353.9144672353204</c:v>
                </c:pt>
                <c:pt idx="8">
                  <c:v>2203.6941600195582</c:v>
                </c:pt>
                <c:pt idx="9">
                  <c:v>1630.8643423223805</c:v>
                </c:pt>
                <c:pt idx="10">
                  <c:v>1292.5013125536341</c:v>
                </c:pt>
              </c:numCache>
            </c:numRef>
          </c:val>
        </c:ser>
        <c:dLbls>
          <c:showLegendKey val="0"/>
          <c:showVal val="0"/>
          <c:showCatName val="0"/>
          <c:showSerName val="0"/>
          <c:showPercent val="0"/>
          <c:showBubbleSize val="0"/>
        </c:dLbls>
        <c:gapWidth val="150"/>
        <c:axId val="183360896"/>
        <c:axId val="183403648"/>
      </c:barChart>
      <c:catAx>
        <c:axId val="183360896"/>
        <c:scaling>
          <c:orientation val="minMax"/>
        </c:scaling>
        <c:delete val="0"/>
        <c:axPos val="b"/>
        <c:numFmt formatCode="General" sourceLinked="1"/>
        <c:majorTickMark val="out"/>
        <c:minorTickMark val="none"/>
        <c:tickLblPos val="nextTo"/>
        <c:crossAx val="183403648"/>
        <c:crosses val="autoZero"/>
        <c:auto val="1"/>
        <c:lblAlgn val="ctr"/>
        <c:lblOffset val="100"/>
        <c:noMultiLvlLbl val="0"/>
      </c:catAx>
      <c:valAx>
        <c:axId val="183403648"/>
        <c:scaling>
          <c:orientation val="minMax"/>
        </c:scaling>
        <c:delete val="0"/>
        <c:axPos val="l"/>
        <c:title>
          <c:tx>
            <c:rich>
              <a:bodyPr rot="-5400000" vert="horz"/>
              <a:lstStyle/>
              <a:p>
                <a:pPr>
                  <a:defRPr/>
                </a:pPr>
                <a:r>
                  <a:rPr lang="en-US"/>
                  <a:t>Soybean stover yield (kg/ha)</a:t>
                </a:r>
              </a:p>
            </c:rich>
          </c:tx>
          <c:overlay val="0"/>
        </c:title>
        <c:numFmt formatCode="General" sourceLinked="1"/>
        <c:majorTickMark val="out"/>
        <c:minorTickMark val="none"/>
        <c:tickLblPos val="nextTo"/>
        <c:crossAx val="183360896"/>
        <c:crosses val="autoZero"/>
        <c:crossBetween val="between"/>
      </c:valAx>
    </c:plotArea>
    <c:legend>
      <c:legendPos val="tr"/>
      <c:layout>
        <c:manualLayout>
          <c:xMode val="edge"/>
          <c:yMode val="edge"/>
          <c:x val="0.81855621172353465"/>
          <c:y val="0"/>
          <c:w val="0.18144378827646535"/>
          <c:h val="0.16743438320209972"/>
        </c:manualLayout>
      </c:layout>
      <c:overlay val="1"/>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analysis!$AI$61</c:f>
              <c:strCache>
                <c:ptCount val="1"/>
                <c:pt idx="0">
                  <c:v> - inoc / - lime</c:v>
                </c:pt>
              </c:strCache>
            </c:strRef>
          </c:tx>
          <c:invertIfNegative val="0"/>
          <c:errBars>
            <c:errBarType val="both"/>
            <c:errValType val="cust"/>
            <c:noEndCap val="0"/>
            <c:plus>
              <c:numRef>
                <c:f>analysis!$AO$62:$AO$68</c:f>
                <c:numCache>
                  <c:formatCode>General</c:formatCode>
                  <c:ptCount val="7"/>
                  <c:pt idx="0">
                    <c:v>41.169232753261774</c:v>
                  </c:pt>
                  <c:pt idx="1">
                    <c:v>43.37142882975963</c:v>
                  </c:pt>
                  <c:pt idx="2">
                    <c:v>111.9322004152299</c:v>
                  </c:pt>
                  <c:pt idx="3">
                    <c:v>321.85693977335853</c:v>
                  </c:pt>
                  <c:pt idx="4">
                    <c:v>301.40865107378795</c:v>
                  </c:pt>
                  <c:pt idx="5">
                    <c:v>51.116379298831689</c:v>
                  </c:pt>
                  <c:pt idx="6">
                    <c:v>80.374426689363418</c:v>
                  </c:pt>
                </c:numCache>
              </c:numRef>
            </c:plus>
            <c:minus>
              <c:numRef>
                <c:f>analysis!$AO$62:$AO$68</c:f>
                <c:numCache>
                  <c:formatCode>General</c:formatCode>
                  <c:ptCount val="7"/>
                  <c:pt idx="0">
                    <c:v>41.169232753261774</c:v>
                  </c:pt>
                  <c:pt idx="1">
                    <c:v>43.37142882975963</c:v>
                  </c:pt>
                  <c:pt idx="2">
                    <c:v>111.9322004152299</c:v>
                  </c:pt>
                  <c:pt idx="3">
                    <c:v>321.85693977335853</c:v>
                  </c:pt>
                  <c:pt idx="4">
                    <c:v>301.40865107378795</c:v>
                  </c:pt>
                  <c:pt idx="5">
                    <c:v>51.116379298831689</c:v>
                  </c:pt>
                  <c:pt idx="6">
                    <c:v>80.374426689363418</c:v>
                  </c:pt>
                </c:numCache>
              </c:numRef>
            </c:minus>
          </c:errBars>
          <c:cat>
            <c:strRef>
              <c:f>analysis!$AH$62:$AH$68</c:f>
              <c:strCache>
                <c:ptCount val="7"/>
                <c:pt idx="0">
                  <c:v>NONE</c:v>
                </c:pt>
                <c:pt idx="1">
                  <c:v>DAP</c:v>
                </c:pt>
                <c:pt idx="2">
                  <c:v>MRP-DUST</c:v>
                </c:pt>
                <c:pt idx="3">
                  <c:v>MRP-PALLETS</c:v>
                </c:pt>
                <c:pt idx="4">
                  <c:v>TSP</c:v>
                </c:pt>
                <c:pt idx="5">
                  <c:v>TSP/KCL</c:v>
                </c:pt>
                <c:pt idx="6">
                  <c:v>SYMPAL</c:v>
                </c:pt>
              </c:strCache>
            </c:strRef>
          </c:cat>
          <c:val>
            <c:numRef>
              <c:f>analysis!$AI$62:$AI$68</c:f>
              <c:numCache>
                <c:formatCode>General</c:formatCode>
                <c:ptCount val="7"/>
                <c:pt idx="0">
                  <c:v>537.13984338121463</c:v>
                </c:pt>
                <c:pt idx="1">
                  <c:v>608.41320743082099</c:v>
                </c:pt>
                <c:pt idx="2">
                  <c:v>601.36096700214478</c:v>
                </c:pt>
                <c:pt idx="3">
                  <c:v>605.09344658339694</c:v>
                </c:pt>
                <c:pt idx="4">
                  <c:v>982.42180667033756</c:v>
                </c:pt>
                <c:pt idx="5">
                  <c:v>836.17209554177316</c:v>
                </c:pt>
                <c:pt idx="6">
                  <c:v>936.07930244996805</c:v>
                </c:pt>
              </c:numCache>
            </c:numRef>
          </c:val>
        </c:ser>
        <c:ser>
          <c:idx val="1"/>
          <c:order val="1"/>
          <c:tx>
            <c:strRef>
              <c:f>analysis!$AJ$61</c:f>
              <c:strCache>
                <c:ptCount val="1"/>
                <c:pt idx="0">
                  <c:v> + inoc / + lime</c:v>
                </c:pt>
              </c:strCache>
            </c:strRef>
          </c:tx>
          <c:invertIfNegative val="0"/>
          <c:errBars>
            <c:errBarType val="both"/>
            <c:errValType val="cust"/>
            <c:noEndCap val="0"/>
            <c:plus>
              <c:numRef>
                <c:f>analysis!$AP$62:$AP$68</c:f>
                <c:numCache>
                  <c:formatCode>General</c:formatCode>
                  <c:ptCount val="7"/>
                  <c:pt idx="0">
                    <c:v>136.01985366398213</c:v>
                  </c:pt>
                  <c:pt idx="1">
                    <c:v>58.270730435211874</c:v>
                  </c:pt>
                  <c:pt idx="2">
                    <c:v>135.91523485326391</c:v>
                  </c:pt>
                  <c:pt idx="3">
                    <c:v>234.94180469770109</c:v>
                  </c:pt>
                  <c:pt idx="4">
                    <c:v>193.97563425641172</c:v>
                  </c:pt>
                  <c:pt idx="5">
                    <c:v>6.0600802702394798</c:v>
                  </c:pt>
                  <c:pt idx="6">
                    <c:v>77.621500437021638</c:v>
                  </c:pt>
                </c:numCache>
              </c:numRef>
            </c:plus>
            <c:minus>
              <c:numRef>
                <c:f>analysis!$AP$62:$AP$68</c:f>
                <c:numCache>
                  <c:formatCode>General</c:formatCode>
                  <c:ptCount val="7"/>
                  <c:pt idx="0">
                    <c:v>136.01985366398213</c:v>
                  </c:pt>
                  <c:pt idx="1">
                    <c:v>58.270730435211874</c:v>
                  </c:pt>
                  <c:pt idx="2">
                    <c:v>135.91523485326391</c:v>
                  </c:pt>
                  <c:pt idx="3">
                    <c:v>234.94180469770109</c:v>
                  </c:pt>
                  <c:pt idx="4">
                    <c:v>193.97563425641172</c:v>
                  </c:pt>
                  <c:pt idx="5">
                    <c:v>6.0600802702394798</c:v>
                  </c:pt>
                  <c:pt idx="6">
                    <c:v>77.621500437021638</c:v>
                  </c:pt>
                </c:numCache>
              </c:numRef>
            </c:minus>
          </c:errBars>
          <c:cat>
            <c:strRef>
              <c:f>analysis!$AH$62:$AH$68</c:f>
              <c:strCache>
                <c:ptCount val="7"/>
                <c:pt idx="0">
                  <c:v>NONE</c:v>
                </c:pt>
                <c:pt idx="1">
                  <c:v>DAP</c:v>
                </c:pt>
                <c:pt idx="2">
                  <c:v>MRP-DUST</c:v>
                </c:pt>
                <c:pt idx="3">
                  <c:v>MRP-PALLETS</c:v>
                </c:pt>
                <c:pt idx="4">
                  <c:v>TSP</c:v>
                </c:pt>
                <c:pt idx="5">
                  <c:v>TSP/KCL</c:v>
                </c:pt>
                <c:pt idx="6">
                  <c:v>SYMPAL</c:v>
                </c:pt>
              </c:strCache>
            </c:strRef>
          </c:cat>
          <c:val>
            <c:numRef>
              <c:f>analysis!$AJ$62:$AJ$68</c:f>
              <c:numCache>
                <c:formatCode>General</c:formatCode>
                <c:ptCount val="7"/>
                <c:pt idx="0">
                  <c:v>436.81374939225481</c:v>
                </c:pt>
                <c:pt idx="1">
                  <c:v>809.50550649937475</c:v>
                </c:pt>
                <c:pt idx="2">
                  <c:v>734.1788940540373</c:v>
                </c:pt>
                <c:pt idx="3">
                  <c:v>633.31612022105844</c:v>
                </c:pt>
                <c:pt idx="4">
                  <c:v>716.26939775093081</c:v>
                </c:pt>
                <c:pt idx="5">
                  <c:v>820.08069096164002</c:v>
                </c:pt>
                <c:pt idx="6">
                  <c:v>860.38516875183529</c:v>
                </c:pt>
              </c:numCache>
            </c:numRef>
          </c:val>
        </c:ser>
        <c:dLbls>
          <c:showLegendKey val="0"/>
          <c:showVal val="0"/>
          <c:showCatName val="0"/>
          <c:showSerName val="0"/>
          <c:showPercent val="0"/>
          <c:showBubbleSize val="0"/>
        </c:dLbls>
        <c:gapWidth val="150"/>
        <c:axId val="178920832"/>
        <c:axId val="178922624"/>
      </c:barChart>
      <c:catAx>
        <c:axId val="178920832"/>
        <c:scaling>
          <c:orientation val="minMax"/>
        </c:scaling>
        <c:delete val="0"/>
        <c:axPos val="b"/>
        <c:numFmt formatCode="General" sourceLinked="1"/>
        <c:majorTickMark val="out"/>
        <c:minorTickMark val="none"/>
        <c:tickLblPos val="nextTo"/>
        <c:crossAx val="178922624"/>
        <c:crosses val="autoZero"/>
        <c:auto val="1"/>
        <c:lblAlgn val="ctr"/>
        <c:lblOffset val="100"/>
        <c:noMultiLvlLbl val="0"/>
      </c:catAx>
      <c:valAx>
        <c:axId val="178922624"/>
        <c:scaling>
          <c:orientation val="minMax"/>
        </c:scaling>
        <c:delete val="0"/>
        <c:axPos val="l"/>
        <c:title>
          <c:tx>
            <c:rich>
              <a:bodyPr rot="-5400000" vert="horz"/>
              <a:lstStyle/>
              <a:p>
                <a:pPr>
                  <a:defRPr/>
                </a:pPr>
                <a:r>
                  <a:rPr lang="en-US"/>
                  <a:t>Climbing bean grain yield (kg/ha)</a:t>
                </a:r>
              </a:p>
            </c:rich>
          </c:tx>
          <c:overlay val="0"/>
        </c:title>
        <c:numFmt formatCode="General" sourceLinked="1"/>
        <c:majorTickMark val="out"/>
        <c:minorTickMark val="none"/>
        <c:tickLblPos val="nextTo"/>
        <c:crossAx val="178920832"/>
        <c:crosses val="autoZero"/>
        <c:crossBetween val="between"/>
      </c:valAx>
    </c:plotArea>
    <c:legend>
      <c:legendPos val="tr"/>
      <c:layout>
        <c:manualLayout>
          <c:xMode val="edge"/>
          <c:yMode val="edge"/>
          <c:x val="0.78690354330708656"/>
          <c:y val="0"/>
          <c:w val="0.21309645669291344"/>
          <c:h val="0.16743438320209972"/>
        </c:manualLayout>
      </c:layout>
      <c:overlay val="1"/>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analysis!$AI$38</c:f>
              <c:strCache>
                <c:ptCount val="1"/>
                <c:pt idx="0">
                  <c:v> - inoc</c:v>
                </c:pt>
              </c:strCache>
            </c:strRef>
          </c:tx>
          <c:invertIfNegative val="0"/>
          <c:errBars>
            <c:errBarType val="both"/>
            <c:errValType val="cust"/>
            <c:noEndCap val="0"/>
            <c:plus>
              <c:numRef>
                <c:f>analysis!$AO$39:$AO$45</c:f>
                <c:numCache>
                  <c:formatCode>General</c:formatCode>
                  <c:ptCount val="7"/>
                  <c:pt idx="0">
                    <c:v>84.082481264063276</c:v>
                  </c:pt>
                  <c:pt idx="1">
                    <c:v>456.73448801600807</c:v>
                  </c:pt>
                  <c:pt idx="2">
                    <c:v>119.06335607506196</c:v>
                  </c:pt>
                  <c:pt idx="3">
                    <c:v>109.69363041841713</c:v>
                  </c:pt>
                  <c:pt idx="4">
                    <c:v>267.71384102176603</c:v>
                  </c:pt>
                  <c:pt idx="5">
                    <c:v>139.09563609821041</c:v>
                  </c:pt>
                  <c:pt idx="6">
                    <c:v>204.25929357909328</c:v>
                  </c:pt>
                </c:numCache>
              </c:numRef>
            </c:plus>
            <c:minus>
              <c:numRef>
                <c:f>analysis!$AO$39:$AO$45</c:f>
                <c:numCache>
                  <c:formatCode>General</c:formatCode>
                  <c:ptCount val="7"/>
                  <c:pt idx="0">
                    <c:v>84.082481264063276</c:v>
                  </c:pt>
                  <c:pt idx="1">
                    <c:v>456.73448801600807</c:v>
                  </c:pt>
                  <c:pt idx="2">
                    <c:v>119.06335607506196</c:v>
                  </c:pt>
                  <c:pt idx="3">
                    <c:v>109.69363041841713</c:v>
                  </c:pt>
                  <c:pt idx="4">
                    <c:v>267.71384102176603</c:v>
                  </c:pt>
                  <c:pt idx="5">
                    <c:v>139.09563609821041</c:v>
                  </c:pt>
                  <c:pt idx="6">
                    <c:v>204.25929357909328</c:v>
                  </c:pt>
                </c:numCache>
              </c:numRef>
            </c:minus>
          </c:errBars>
          <c:cat>
            <c:strRef>
              <c:f>analysis!$AH$39:$AH$45</c:f>
              <c:strCache>
                <c:ptCount val="7"/>
                <c:pt idx="0">
                  <c:v>NONE</c:v>
                </c:pt>
                <c:pt idx="1">
                  <c:v>DAP</c:v>
                </c:pt>
                <c:pt idx="2">
                  <c:v>MRP-DUST</c:v>
                </c:pt>
                <c:pt idx="3">
                  <c:v>MRP-PALLETS</c:v>
                </c:pt>
                <c:pt idx="4">
                  <c:v>TSP</c:v>
                </c:pt>
                <c:pt idx="5">
                  <c:v>TSP/KCL</c:v>
                </c:pt>
                <c:pt idx="6">
                  <c:v>SYMPAL</c:v>
                </c:pt>
              </c:strCache>
            </c:strRef>
          </c:cat>
          <c:val>
            <c:numRef>
              <c:f>analysis!$AI$39:$AI$45</c:f>
              <c:numCache>
                <c:formatCode>General</c:formatCode>
                <c:ptCount val="7"/>
                <c:pt idx="0">
                  <c:v>821.2104190247934</c:v>
                </c:pt>
                <c:pt idx="1">
                  <c:v>1275.6700919013579</c:v>
                </c:pt>
                <c:pt idx="2">
                  <c:v>889.05673509736118</c:v>
                </c:pt>
                <c:pt idx="3">
                  <c:v>803.64565172007417</c:v>
                </c:pt>
                <c:pt idx="4">
                  <c:v>1590.3114789293179</c:v>
                </c:pt>
                <c:pt idx="5">
                  <c:v>1039.4341266670883</c:v>
                </c:pt>
                <c:pt idx="6">
                  <c:v>1254.0040316228728</c:v>
                </c:pt>
              </c:numCache>
            </c:numRef>
          </c:val>
        </c:ser>
        <c:ser>
          <c:idx val="1"/>
          <c:order val="1"/>
          <c:tx>
            <c:strRef>
              <c:f>analysis!$AJ$38</c:f>
              <c:strCache>
                <c:ptCount val="1"/>
                <c:pt idx="0">
                  <c:v> + inoc</c:v>
                </c:pt>
              </c:strCache>
            </c:strRef>
          </c:tx>
          <c:invertIfNegative val="0"/>
          <c:errBars>
            <c:errBarType val="both"/>
            <c:errValType val="cust"/>
            <c:noEndCap val="0"/>
            <c:plus>
              <c:numRef>
                <c:f>analysis!$AP$39:$AP$45</c:f>
                <c:numCache>
                  <c:formatCode>General</c:formatCode>
                  <c:ptCount val="7"/>
                  <c:pt idx="0">
                    <c:v>74.110647967445061</c:v>
                  </c:pt>
                  <c:pt idx="1">
                    <c:v>204.12573689770164</c:v>
                  </c:pt>
                  <c:pt idx="2">
                    <c:v>57.058588234579197</c:v>
                  </c:pt>
                  <c:pt idx="3">
                    <c:v>153.47203728121545</c:v>
                  </c:pt>
                  <c:pt idx="4">
                    <c:v>183.02624130994053</c:v>
                  </c:pt>
                  <c:pt idx="5">
                    <c:v>62.508465044409213</c:v>
                  </c:pt>
                  <c:pt idx="6">
                    <c:v>84.762696383515475</c:v>
                  </c:pt>
                </c:numCache>
              </c:numRef>
            </c:plus>
            <c:minus>
              <c:numRef>
                <c:f>analysis!$AP$39:$AP$45</c:f>
                <c:numCache>
                  <c:formatCode>General</c:formatCode>
                  <c:ptCount val="7"/>
                  <c:pt idx="0">
                    <c:v>74.110647967445061</c:v>
                  </c:pt>
                  <c:pt idx="1">
                    <c:v>204.12573689770164</c:v>
                  </c:pt>
                  <c:pt idx="2">
                    <c:v>57.058588234579197</c:v>
                  </c:pt>
                  <c:pt idx="3">
                    <c:v>153.47203728121545</c:v>
                  </c:pt>
                  <c:pt idx="4">
                    <c:v>183.02624130994053</c:v>
                  </c:pt>
                  <c:pt idx="5">
                    <c:v>62.508465044409213</c:v>
                  </c:pt>
                  <c:pt idx="6">
                    <c:v>84.762696383515475</c:v>
                  </c:pt>
                </c:numCache>
              </c:numRef>
            </c:minus>
          </c:errBars>
          <c:cat>
            <c:strRef>
              <c:f>analysis!$AH$39:$AH$45</c:f>
              <c:strCache>
                <c:ptCount val="7"/>
                <c:pt idx="0">
                  <c:v>NONE</c:v>
                </c:pt>
                <c:pt idx="1">
                  <c:v>DAP</c:v>
                </c:pt>
                <c:pt idx="2">
                  <c:v>MRP-DUST</c:v>
                </c:pt>
                <c:pt idx="3">
                  <c:v>MRP-PALLETS</c:v>
                </c:pt>
                <c:pt idx="4">
                  <c:v>TSP</c:v>
                </c:pt>
                <c:pt idx="5">
                  <c:v>TSP/KCL</c:v>
                </c:pt>
                <c:pt idx="6">
                  <c:v>SYMPAL</c:v>
                </c:pt>
              </c:strCache>
            </c:strRef>
          </c:cat>
          <c:val>
            <c:numRef>
              <c:f>analysis!$AJ$39:$AJ$45</c:f>
              <c:numCache>
                <c:formatCode>General</c:formatCode>
                <c:ptCount val="7"/>
                <c:pt idx="0">
                  <c:v>711.10382989979064</c:v>
                </c:pt>
                <c:pt idx="1">
                  <c:v>1169.572994400881</c:v>
                </c:pt>
                <c:pt idx="2">
                  <c:v>940.24448448867849</c:v>
                </c:pt>
                <c:pt idx="3">
                  <c:v>850.85514123727955</c:v>
                </c:pt>
                <c:pt idx="4">
                  <c:v>979.00254076847125</c:v>
                </c:pt>
                <c:pt idx="5">
                  <c:v>1053.918572314197</c:v>
                </c:pt>
                <c:pt idx="6">
                  <c:v>1191.0201552756657</c:v>
                </c:pt>
              </c:numCache>
            </c:numRef>
          </c:val>
        </c:ser>
        <c:dLbls>
          <c:showLegendKey val="0"/>
          <c:showVal val="0"/>
          <c:showCatName val="0"/>
          <c:showSerName val="0"/>
          <c:showPercent val="0"/>
          <c:showBubbleSize val="0"/>
        </c:dLbls>
        <c:gapWidth val="150"/>
        <c:axId val="178940544"/>
        <c:axId val="179032448"/>
      </c:barChart>
      <c:catAx>
        <c:axId val="178940544"/>
        <c:scaling>
          <c:orientation val="minMax"/>
        </c:scaling>
        <c:delete val="0"/>
        <c:axPos val="b"/>
        <c:numFmt formatCode="General" sourceLinked="1"/>
        <c:majorTickMark val="out"/>
        <c:minorTickMark val="none"/>
        <c:tickLblPos val="nextTo"/>
        <c:crossAx val="179032448"/>
        <c:crosses val="autoZero"/>
        <c:auto val="1"/>
        <c:lblAlgn val="ctr"/>
        <c:lblOffset val="100"/>
        <c:noMultiLvlLbl val="0"/>
      </c:catAx>
      <c:valAx>
        <c:axId val="179032448"/>
        <c:scaling>
          <c:orientation val="minMax"/>
        </c:scaling>
        <c:delete val="0"/>
        <c:axPos val="l"/>
        <c:title>
          <c:tx>
            <c:rich>
              <a:bodyPr rot="-5400000" vert="horz"/>
              <a:lstStyle/>
              <a:p>
                <a:pPr>
                  <a:defRPr/>
                </a:pPr>
                <a:r>
                  <a:rPr lang="en-US"/>
                  <a:t>Climbing bean stover yield (kg/ha)</a:t>
                </a:r>
              </a:p>
            </c:rich>
          </c:tx>
          <c:overlay val="0"/>
        </c:title>
        <c:numFmt formatCode="General" sourceLinked="1"/>
        <c:majorTickMark val="out"/>
        <c:minorTickMark val="none"/>
        <c:tickLblPos val="nextTo"/>
        <c:crossAx val="178940544"/>
        <c:crosses val="autoZero"/>
        <c:crossBetween val="between"/>
      </c:valAx>
    </c:plotArea>
    <c:legend>
      <c:legendPos val="tr"/>
      <c:layout>
        <c:manualLayout>
          <c:xMode val="edge"/>
          <c:yMode val="edge"/>
          <c:x val="0.87905664916885384"/>
          <c:y val="0"/>
          <c:w val="0.12094335083114616"/>
          <c:h val="0.16743438320209972"/>
        </c:manualLayout>
      </c:layout>
      <c:overlay val="1"/>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analysis!$AI$71</c:f>
              <c:strCache>
                <c:ptCount val="1"/>
                <c:pt idx="0">
                  <c:v> - inoc / - lime</c:v>
                </c:pt>
              </c:strCache>
            </c:strRef>
          </c:tx>
          <c:invertIfNegative val="0"/>
          <c:errBars>
            <c:errBarType val="both"/>
            <c:errValType val="cust"/>
            <c:noEndCap val="0"/>
            <c:plus>
              <c:numRef>
                <c:f>analysis!$AO$72:$AO$78</c:f>
                <c:numCache>
                  <c:formatCode>General</c:formatCode>
                  <c:ptCount val="7"/>
                  <c:pt idx="0">
                    <c:v>33.980016566884572</c:v>
                  </c:pt>
                  <c:pt idx="1">
                    <c:v>160.09827645343753</c:v>
                  </c:pt>
                  <c:pt idx="2">
                    <c:v>175.36810365391506</c:v>
                  </c:pt>
                  <c:pt idx="3">
                    <c:v>169.5027189428248</c:v>
                  </c:pt>
                  <c:pt idx="4">
                    <c:v>517.59394316363591</c:v>
                  </c:pt>
                  <c:pt idx="5">
                    <c:v>241.56932867213544</c:v>
                  </c:pt>
                  <c:pt idx="6">
                    <c:v>358.64023143105447</c:v>
                  </c:pt>
                </c:numCache>
              </c:numRef>
            </c:plus>
            <c:minus>
              <c:numRef>
                <c:f>analysis!$AO$72:$AO$78</c:f>
                <c:numCache>
                  <c:formatCode>General</c:formatCode>
                  <c:ptCount val="7"/>
                  <c:pt idx="0">
                    <c:v>33.980016566884572</c:v>
                  </c:pt>
                  <c:pt idx="1">
                    <c:v>160.09827645343753</c:v>
                  </c:pt>
                  <c:pt idx="2">
                    <c:v>175.36810365391506</c:v>
                  </c:pt>
                  <c:pt idx="3">
                    <c:v>169.5027189428248</c:v>
                  </c:pt>
                  <c:pt idx="4">
                    <c:v>517.59394316363591</c:v>
                  </c:pt>
                  <c:pt idx="5">
                    <c:v>241.56932867213544</c:v>
                  </c:pt>
                  <c:pt idx="6">
                    <c:v>358.64023143105447</c:v>
                  </c:pt>
                </c:numCache>
              </c:numRef>
            </c:minus>
          </c:errBars>
          <c:cat>
            <c:strRef>
              <c:f>analysis!$AH$72:$AH$78</c:f>
              <c:strCache>
                <c:ptCount val="7"/>
                <c:pt idx="0">
                  <c:v>NONE</c:v>
                </c:pt>
                <c:pt idx="1">
                  <c:v>DAP</c:v>
                </c:pt>
                <c:pt idx="2">
                  <c:v>MRP-DUST</c:v>
                </c:pt>
                <c:pt idx="3">
                  <c:v>MRP-PALLETS</c:v>
                </c:pt>
                <c:pt idx="4">
                  <c:v>TSP</c:v>
                </c:pt>
                <c:pt idx="5">
                  <c:v>TSP/KCL</c:v>
                </c:pt>
                <c:pt idx="6">
                  <c:v>SYMPAL</c:v>
                </c:pt>
              </c:strCache>
            </c:strRef>
          </c:cat>
          <c:val>
            <c:numRef>
              <c:f>analysis!$AI$72:$AI$78</c:f>
              <c:numCache>
                <c:formatCode>General</c:formatCode>
                <c:ptCount val="7"/>
                <c:pt idx="0">
                  <c:v>730.60983966056756</c:v>
                </c:pt>
                <c:pt idx="1">
                  <c:v>788.81443505787411</c:v>
                </c:pt>
                <c:pt idx="2">
                  <c:v>1055.9988176936215</c:v>
                </c:pt>
                <c:pt idx="3">
                  <c:v>783.90902097081801</c:v>
                </c:pt>
                <c:pt idx="4">
                  <c:v>1887.0855894551642</c:v>
                </c:pt>
                <c:pt idx="5">
                  <c:v>1177.5706140936838</c:v>
                </c:pt>
                <c:pt idx="6">
                  <c:v>1376.0520828799897</c:v>
                </c:pt>
              </c:numCache>
            </c:numRef>
          </c:val>
        </c:ser>
        <c:ser>
          <c:idx val="1"/>
          <c:order val="1"/>
          <c:tx>
            <c:strRef>
              <c:f>analysis!$AJ$71</c:f>
              <c:strCache>
                <c:ptCount val="1"/>
                <c:pt idx="0">
                  <c:v> + inoc / + lime</c:v>
                </c:pt>
              </c:strCache>
            </c:strRef>
          </c:tx>
          <c:invertIfNegative val="0"/>
          <c:errBars>
            <c:errBarType val="both"/>
            <c:errValType val="cust"/>
            <c:noEndCap val="0"/>
            <c:plus>
              <c:numRef>
                <c:f>analysis!$AP$72:$AP$78</c:f>
                <c:numCache>
                  <c:formatCode>General</c:formatCode>
                  <c:ptCount val="7"/>
                  <c:pt idx="0">
                    <c:v>190.30547554627293</c:v>
                  </c:pt>
                  <c:pt idx="1">
                    <c:v>80.462433550344869</c:v>
                  </c:pt>
                  <c:pt idx="2">
                    <c:v>191.75694680278073</c:v>
                  </c:pt>
                  <c:pt idx="3">
                    <c:v>183.84875762066929</c:v>
                  </c:pt>
                  <c:pt idx="4">
                    <c:v>60.442940706113887</c:v>
                  </c:pt>
                  <c:pt idx="5">
                    <c:v>101.32827460299335</c:v>
                  </c:pt>
                  <c:pt idx="6">
                    <c:v>159.34047010504628</c:v>
                  </c:pt>
                </c:numCache>
              </c:numRef>
            </c:plus>
            <c:minus>
              <c:numRef>
                <c:f>analysis!$AP$72:$AP$78</c:f>
                <c:numCache>
                  <c:formatCode>General</c:formatCode>
                  <c:ptCount val="7"/>
                  <c:pt idx="0">
                    <c:v>190.30547554627293</c:v>
                  </c:pt>
                  <c:pt idx="1">
                    <c:v>80.462433550344869</c:v>
                  </c:pt>
                  <c:pt idx="2">
                    <c:v>191.75694680278073</c:v>
                  </c:pt>
                  <c:pt idx="3">
                    <c:v>183.84875762066929</c:v>
                  </c:pt>
                  <c:pt idx="4">
                    <c:v>60.442940706113887</c:v>
                  </c:pt>
                  <c:pt idx="5">
                    <c:v>101.32827460299335</c:v>
                  </c:pt>
                  <c:pt idx="6">
                    <c:v>159.34047010504628</c:v>
                  </c:pt>
                </c:numCache>
              </c:numRef>
            </c:minus>
          </c:errBars>
          <c:cat>
            <c:strRef>
              <c:f>analysis!$AH$72:$AH$78</c:f>
              <c:strCache>
                <c:ptCount val="7"/>
                <c:pt idx="0">
                  <c:v>NONE</c:v>
                </c:pt>
                <c:pt idx="1">
                  <c:v>DAP</c:v>
                </c:pt>
                <c:pt idx="2">
                  <c:v>MRP-DUST</c:v>
                </c:pt>
                <c:pt idx="3">
                  <c:v>MRP-PALLETS</c:v>
                </c:pt>
                <c:pt idx="4">
                  <c:v>TSP</c:v>
                </c:pt>
                <c:pt idx="5">
                  <c:v>TSP/KCL</c:v>
                </c:pt>
                <c:pt idx="6">
                  <c:v>SYMPAL</c:v>
                </c:pt>
              </c:strCache>
            </c:strRef>
          </c:cat>
          <c:val>
            <c:numRef>
              <c:f>analysis!$AJ$72:$AJ$78</c:f>
              <c:numCache>
                <c:formatCode>General</c:formatCode>
                <c:ptCount val="7"/>
                <c:pt idx="0">
                  <c:v>690.44193054210734</c:v>
                </c:pt>
                <c:pt idx="1">
                  <c:v>1101.689815899651</c:v>
                </c:pt>
                <c:pt idx="2">
                  <c:v>1099.5835534782784</c:v>
                </c:pt>
                <c:pt idx="3">
                  <c:v>855.95886902044538</c:v>
                </c:pt>
                <c:pt idx="4">
                  <c:v>1161.3050403770224</c:v>
                </c:pt>
                <c:pt idx="5">
                  <c:v>1046.8640169166365</c:v>
                </c:pt>
                <c:pt idx="6">
                  <c:v>1244.7213595707919</c:v>
                </c:pt>
              </c:numCache>
            </c:numRef>
          </c:val>
        </c:ser>
        <c:dLbls>
          <c:showLegendKey val="0"/>
          <c:showVal val="0"/>
          <c:showCatName val="0"/>
          <c:showSerName val="0"/>
          <c:showPercent val="0"/>
          <c:showBubbleSize val="0"/>
        </c:dLbls>
        <c:gapWidth val="150"/>
        <c:axId val="179042176"/>
        <c:axId val="179043712"/>
      </c:barChart>
      <c:catAx>
        <c:axId val="179042176"/>
        <c:scaling>
          <c:orientation val="minMax"/>
        </c:scaling>
        <c:delete val="0"/>
        <c:axPos val="b"/>
        <c:numFmt formatCode="General" sourceLinked="1"/>
        <c:majorTickMark val="out"/>
        <c:minorTickMark val="none"/>
        <c:tickLblPos val="nextTo"/>
        <c:crossAx val="179043712"/>
        <c:crosses val="autoZero"/>
        <c:auto val="1"/>
        <c:lblAlgn val="ctr"/>
        <c:lblOffset val="100"/>
        <c:noMultiLvlLbl val="0"/>
      </c:catAx>
      <c:valAx>
        <c:axId val="179043712"/>
        <c:scaling>
          <c:orientation val="minMax"/>
        </c:scaling>
        <c:delete val="0"/>
        <c:axPos val="l"/>
        <c:title>
          <c:tx>
            <c:rich>
              <a:bodyPr rot="-5400000" vert="horz"/>
              <a:lstStyle/>
              <a:p>
                <a:pPr>
                  <a:defRPr/>
                </a:pPr>
                <a:r>
                  <a:rPr lang="en-US"/>
                  <a:t>Climbing bean stover yield (kg/ha)</a:t>
                </a:r>
              </a:p>
            </c:rich>
          </c:tx>
          <c:overlay val="0"/>
        </c:title>
        <c:numFmt formatCode="General" sourceLinked="1"/>
        <c:majorTickMark val="out"/>
        <c:minorTickMark val="none"/>
        <c:tickLblPos val="nextTo"/>
        <c:crossAx val="179042176"/>
        <c:crosses val="autoZero"/>
        <c:crossBetween val="between"/>
      </c:valAx>
    </c:plotArea>
    <c:legend>
      <c:legendPos val="tr"/>
      <c:layout>
        <c:manualLayout>
          <c:xMode val="edge"/>
          <c:yMode val="edge"/>
          <c:x val="0.78690354330708656"/>
          <c:y val="0"/>
          <c:w val="0.21309645669291344"/>
          <c:h val="0.16743438320209972"/>
        </c:manualLayout>
      </c:layout>
      <c:overlay val="1"/>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Analysis!$AR$13</c:f>
              <c:strCache>
                <c:ptCount val="1"/>
                <c:pt idx="0">
                  <c:v> - inoc</c:v>
                </c:pt>
              </c:strCache>
            </c:strRef>
          </c:tx>
          <c:invertIfNegative val="0"/>
          <c:errBars>
            <c:errBarType val="both"/>
            <c:errValType val="cust"/>
            <c:noEndCap val="0"/>
            <c:plus>
              <c:numRef>
                <c:f>Analysis!$AX$14:$AX$20</c:f>
                <c:numCache>
                  <c:formatCode>General</c:formatCode>
                  <c:ptCount val="7"/>
                  <c:pt idx="0">
                    <c:v>0.41123121368776444</c:v>
                  </c:pt>
                  <c:pt idx="1">
                    <c:v>0.28266806428725066</c:v>
                  </c:pt>
                  <c:pt idx="2">
                    <c:v>0.25905812303633946</c:v>
                  </c:pt>
                  <c:pt idx="3">
                    <c:v>0.41506358281325695</c:v>
                  </c:pt>
                  <c:pt idx="4">
                    <c:v>0.19321835661586081</c:v>
                  </c:pt>
                  <c:pt idx="5">
                    <c:v>0.28684103224221047</c:v>
                  </c:pt>
                  <c:pt idx="6">
                    <c:v>0.26055061181120542</c:v>
                  </c:pt>
                </c:numCache>
              </c:numRef>
            </c:plus>
            <c:minus>
              <c:numRef>
                <c:f>Analysis!$AX$14:$AX$20</c:f>
                <c:numCache>
                  <c:formatCode>General</c:formatCode>
                  <c:ptCount val="7"/>
                  <c:pt idx="0">
                    <c:v>0.41123121368776444</c:v>
                  </c:pt>
                  <c:pt idx="1">
                    <c:v>0.28266806428725066</c:v>
                  </c:pt>
                  <c:pt idx="2">
                    <c:v>0.25905812303633946</c:v>
                  </c:pt>
                  <c:pt idx="3">
                    <c:v>0.41506358281325695</c:v>
                  </c:pt>
                  <c:pt idx="4">
                    <c:v>0.19321835661586081</c:v>
                  </c:pt>
                  <c:pt idx="5">
                    <c:v>0.28684103224221047</c:v>
                  </c:pt>
                  <c:pt idx="6">
                    <c:v>0.26055061181120542</c:v>
                  </c:pt>
                </c:numCache>
              </c:numRef>
            </c:minus>
          </c:errBars>
          <c:cat>
            <c:strRef>
              <c:f>Analysis!$AQ$14:$AQ$20</c:f>
              <c:strCache>
                <c:ptCount val="7"/>
                <c:pt idx="0">
                  <c:v>NONE</c:v>
                </c:pt>
                <c:pt idx="1">
                  <c:v>DAP</c:v>
                </c:pt>
                <c:pt idx="2">
                  <c:v>MRP-DUST</c:v>
                </c:pt>
                <c:pt idx="3">
                  <c:v>MRP-PALLETS</c:v>
                </c:pt>
                <c:pt idx="4">
                  <c:v>TSP</c:v>
                </c:pt>
                <c:pt idx="5">
                  <c:v>TSP/KCL</c:v>
                </c:pt>
                <c:pt idx="6">
                  <c:v>SYMPAL</c:v>
                </c:pt>
              </c:strCache>
            </c:strRef>
          </c:cat>
          <c:val>
            <c:numRef>
              <c:f>Analysis!$AR$14:$AR$20</c:f>
              <c:numCache>
                <c:formatCode>General</c:formatCode>
                <c:ptCount val="7"/>
                <c:pt idx="0">
                  <c:v>3.4333333333333331</c:v>
                </c:pt>
                <c:pt idx="1">
                  <c:v>3.3111111111111113</c:v>
                </c:pt>
                <c:pt idx="2">
                  <c:v>3.6333333333333333</c:v>
                </c:pt>
                <c:pt idx="3">
                  <c:v>3.7166666666666668</c:v>
                </c:pt>
                <c:pt idx="4">
                  <c:v>3.5999999999999996</c:v>
                </c:pt>
                <c:pt idx="5">
                  <c:v>3.8166666666666669</c:v>
                </c:pt>
                <c:pt idx="6">
                  <c:v>4.0476190476190474</c:v>
                </c:pt>
              </c:numCache>
            </c:numRef>
          </c:val>
        </c:ser>
        <c:ser>
          <c:idx val="1"/>
          <c:order val="1"/>
          <c:tx>
            <c:strRef>
              <c:f>Analysis!$AS$13</c:f>
              <c:strCache>
                <c:ptCount val="1"/>
                <c:pt idx="0">
                  <c:v> + inoc</c:v>
                </c:pt>
              </c:strCache>
            </c:strRef>
          </c:tx>
          <c:invertIfNegative val="0"/>
          <c:errBars>
            <c:errBarType val="both"/>
            <c:errValType val="cust"/>
            <c:noEndCap val="0"/>
            <c:plus>
              <c:numRef>
                <c:f>Analysis!$AY$14:$AY$20</c:f>
                <c:numCache>
                  <c:formatCode>General</c:formatCode>
                  <c:ptCount val="7"/>
                  <c:pt idx="0">
                    <c:v>0.39166312055132169</c:v>
                  </c:pt>
                  <c:pt idx="1">
                    <c:v>0.41185555720422168</c:v>
                  </c:pt>
                  <c:pt idx="2">
                    <c:v>0.1503329637837264</c:v>
                  </c:pt>
                  <c:pt idx="3">
                    <c:v>0.24576411454889141</c:v>
                  </c:pt>
                  <c:pt idx="4">
                    <c:v>6.0000000000007048E-2</c:v>
                  </c:pt>
                  <c:pt idx="5">
                    <c:v>0.36878177829171538</c:v>
                  </c:pt>
                  <c:pt idx="6">
                    <c:v>0.27276363393971581</c:v>
                  </c:pt>
                </c:numCache>
              </c:numRef>
            </c:plus>
            <c:minus>
              <c:numRef>
                <c:f>Analysis!$AY$14:$AY$20</c:f>
                <c:numCache>
                  <c:formatCode>General</c:formatCode>
                  <c:ptCount val="7"/>
                  <c:pt idx="0">
                    <c:v>0.39166312055132169</c:v>
                  </c:pt>
                  <c:pt idx="1">
                    <c:v>0.41185555720422168</c:v>
                  </c:pt>
                  <c:pt idx="2">
                    <c:v>0.1503329637837264</c:v>
                  </c:pt>
                  <c:pt idx="3">
                    <c:v>0.24576411454889141</c:v>
                  </c:pt>
                  <c:pt idx="4">
                    <c:v>6.0000000000007048E-2</c:v>
                  </c:pt>
                  <c:pt idx="5">
                    <c:v>0.36878177829171538</c:v>
                  </c:pt>
                  <c:pt idx="6">
                    <c:v>0.27276363393971581</c:v>
                  </c:pt>
                </c:numCache>
              </c:numRef>
            </c:minus>
          </c:errBars>
          <c:cat>
            <c:strRef>
              <c:f>Analysis!$AQ$14:$AQ$20</c:f>
              <c:strCache>
                <c:ptCount val="7"/>
                <c:pt idx="0">
                  <c:v>NONE</c:v>
                </c:pt>
                <c:pt idx="1">
                  <c:v>DAP</c:v>
                </c:pt>
                <c:pt idx="2">
                  <c:v>MRP-DUST</c:v>
                </c:pt>
                <c:pt idx="3">
                  <c:v>MRP-PALLETS</c:v>
                </c:pt>
                <c:pt idx="4">
                  <c:v>TSP</c:v>
                </c:pt>
                <c:pt idx="5">
                  <c:v>TSP/KCL</c:v>
                </c:pt>
                <c:pt idx="6">
                  <c:v>SYMPAL</c:v>
                </c:pt>
              </c:strCache>
            </c:strRef>
          </c:cat>
          <c:val>
            <c:numRef>
              <c:f>Analysis!$AS$14:$AS$20</c:f>
              <c:numCache>
                <c:formatCode>General</c:formatCode>
                <c:ptCount val="7"/>
                <c:pt idx="0">
                  <c:v>4.42</c:v>
                </c:pt>
                <c:pt idx="1">
                  <c:v>4.0750000000000002</c:v>
                </c:pt>
                <c:pt idx="2">
                  <c:v>4.5600000000000005</c:v>
                </c:pt>
                <c:pt idx="3">
                  <c:v>4.4799999999999995</c:v>
                </c:pt>
                <c:pt idx="4">
                  <c:v>4.9399999999999995</c:v>
                </c:pt>
                <c:pt idx="5">
                  <c:v>4.5</c:v>
                </c:pt>
                <c:pt idx="6">
                  <c:v>4.5200000000000005</c:v>
                </c:pt>
              </c:numCache>
            </c:numRef>
          </c:val>
        </c:ser>
        <c:dLbls>
          <c:showLegendKey val="0"/>
          <c:showVal val="0"/>
          <c:showCatName val="0"/>
          <c:showSerName val="0"/>
          <c:showPercent val="0"/>
          <c:showBubbleSize val="0"/>
        </c:dLbls>
        <c:gapWidth val="150"/>
        <c:axId val="179082368"/>
        <c:axId val="179083904"/>
      </c:barChart>
      <c:catAx>
        <c:axId val="179082368"/>
        <c:scaling>
          <c:orientation val="minMax"/>
        </c:scaling>
        <c:delete val="0"/>
        <c:axPos val="b"/>
        <c:numFmt formatCode="General" sourceLinked="1"/>
        <c:majorTickMark val="out"/>
        <c:minorTickMark val="none"/>
        <c:tickLblPos val="nextTo"/>
        <c:crossAx val="179083904"/>
        <c:crosses val="autoZero"/>
        <c:auto val="1"/>
        <c:lblAlgn val="ctr"/>
        <c:lblOffset val="100"/>
        <c:noMultiLvlLbl val="0"/>
      </c:catAx>
      <c:valAx>
        <c:axId val="179083904"/>
        <c:scaling>
          <c:orientation val="minMax"/>
        </c:scaling>
        <c:delete val="0"/>
        <c:axPos val="l"/>
        <c:title>
          <c:tx>
            <c:rich>
              <a:bodyPr rot="-5400000" vert="horz"/>
              <a:lstStyle/>
              <a:p>
                <a:pPr>
                  <a:defRPr/>
                </a:pPr>
                <a:r>
                  <a:rPr lang="en-US"/>
                  <a:t>Soybean nodule score</a:t>
                </a:r>
              </a:p>
            </c:rich>
          </c:tx>
          <c:overlay val="0"/>
        </c:title>
        <c:numFmt formatCode="General" sourceLinked="1"/>
        <c:majorTickMark val="out"/>
        <c:minorTickMark val="none"/>
        <c:tickLblPos val="nextTo"/>
        <c:crossAx val="179082368"/>
        <c:crosses val="autoZero"/>
        <c:crossBetween val="between"/>
      </c:valAx>
    </c:plotArea>
    <c:legend>
      <c:legendPos val="tr"/>
      <c:layout>
        <c:manualLayout>
          <c:xMode val="edge"/>
          <c:yMode val="edge"/>
          <c:x val="0.87905664916885384"/>
          <c:y val="0"/>
          <c:w val="0.1209433508311461"/>
          <c:h val="0.16743438320209975"/>
        </c:manualLayout>
      </c:layout>
      <c:overlay val="1"/>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Analysis!$AR$48</c:f>
              <c:strCache>
                <c:ptCount val="1"/>
                <c:pt idx="0">
                  <c:v> - inoc/ - lime</c:v>
                </c:pt>
              </c:strCache>
            </c:strRef>
          </c:tx>
          <c:invertIfNegative val="0"/>
          <c:errBars>
            <c:errBarType val="both"/>
            <c:errValType val="cust"/>
            <c:noEndCap val="0"/>
            <c:plus>
              <c:numRef>
                <c:f>Analysis!$AX$49:$AX$55</c:f>
                <c:numCache>
                  <c:formatCode>General</c:formatCode>
                  <c:ptCount val="7"/>
                  <c:pt idx="0">
                    <c:v>0.64893074446439347</c:v>
                  </c:pt>
                  <c:pt idx="1">
                    <c:v>0.38441875315569091</c:v>
                  </c:pt>
                  <c:pt idx="2">
                    <c:v>0.37564758898615741</c:v>
                  </c:pt>
                  <c:pt idx="3">
                    <c:v>0.321455025366433</c:v>
                  </c:pt>
                  <c:pt idx="4">
                    <c:v>5.7735026918956836E-2</c:v>
                  </c:pt>
                  <c:pt idx="5">
                    <c:v>0.16666666666666549</c:v>
                  </c:pt>
                  <c:pt idx="6">
                    <c:v>0.12018504251547571</c:v>
                  </c:pt>
                </c:numCache>
              </c:numRef>
            </c:plus>
            <c:minus>
              <c:numRef>
                <c:f>Analysis!$AX$49:$AX$55</c:f>
                <c:numCache>
                  <c:formatCode>General</c:formatCode>
                  <c:ptCount val="7"/>
                  <c:pt idx="0">
                    <c:v>0.64893074446439347</c:v>
                  </c:pt>
                  <c:pt idx="1">
                    <c:v>0.38441875315569091</c:v>
                  </c:pt>
                  <c:pt idx="2">
                    <c:v>0.37564758898615741</c:v>
                  </c:pt>
                  <c:pt idx="3">
                    <c:v>0.321455025366433</c:v>
                  </c:pt>
                  <c:pt idx="4">
                    <c:v>5.7735026918956836E-2</c:v>
                  </c:pt>
                  <c:pt idx="5">
                    <c:v>0.16666666666666549</c:v>
                  </c:pt>
                  <c:pt idx="6">
                    <c:v>0.12018504251547571</c:v>
                  </c:pt>
                </c:numCache>
              </c:numRef>
            </c:minus>
          </c:errBars>
          <c:cat>
            <c:strRef>
              <c:f>Analysis!$AQ$49:$AQ$55</c:f>
              <c:strCache>
                <c:ptCount val="7"/>
                <c:pt idx="0">
                  <c:v>NONE</c:v>
                </c:pt>
                <c:pt idx="1">
                  <c:v>DAP</c:v>
                </c:pt>
                <c:pt idx="2">
                  <c:v>MRP-DUST</c:v>
                </c:pt>
                <c:pt idx="3">
                  <c:v>MRP-PALLETS</c:v>
                </c:pt>
                <c:pt idx="4">
                  <c:v>TSP</c:v>
                </c:pt>
                <c:pt idx="5">
                  <c:v>TSP/KCL</c:v>
                </c:pt>
                <c:pt idx="6">
                  <c:v>SYMPAL</c:v>
                </c:pt>
              </c:strCache>
            </c:strRef>
          </c:cat>
          <c:val>
            <c:numRef>
              <c:f>Analysis!$AR$49:$AR$55</c:f>
              <c:numCache>
                <c:formatCode>General</c:formatCode>
                <c:ptCount val="7"/>
                <c:pt idx="0">
                  <c:v>3.6666666666666665</c:v>
                </c:pt>
                <c:pt idx="1">
                  <c:v>3.2666666666666671</c:v>
                </c:pt>
                <c:pt idx="2">
                  <c:v>3.5666666666666664</c:v>
                </c:pt>
                <c:pt idx="3">
                  <c:v>3.7999999999999994</c:v>
                </c:pt>
                <c:pt idx="4">
                  <c:v>3.3000000000000003</c:v>
                </c:pt>
                <c:pt idx="5">
                  <c:v>3.6666666666666665</c:v>
                </c:pt>
                <c:pt idx="6">
                  <c:v>4.4666666666666659</c:v>
                </c:pt>
              </c:numCache>
            </c:numRef>
          </c:val>
        </c:ser>
        <c:ser>
          <c:idx val="1"/>
          <c:order val="1"/>
          <c:tx>
            <c:strRef>
              <c:f>Analysis!$AS$48</c:f>
              <c:strCache>
                <c:ptCount val="1"/>
                <c:pt idx="0">
                  <c:v> + inoc/ + lime</c:v>
                </c:pt>
              </c:strCache>
            </c:strRef>
          </c:tx>
          <c:invertIfNegative val="0"/>
          <c:errBars>
            <c:errBarType val="both"/>
            <c:errValType val="cust"/>
            <c:noEndCap val="0"/>
            <c:plus>
              <c:numRef>
                <c:f>Analysis!$AY$49:$AY$55</c:f>
                <c:numCache>
                  <c:formatCode>General</c:formatCode>
                  <c:ptCount val="7"/>
                  <c:pt idx="0">
                    <c:v>0.65574385243020084</c:v>
                  </c:pt>
                  <c:pt idx="1">
                    <c:v>0.54320294959107474</c:v>
                  </c:pt>
                  <c:pt idx="2">
                    <c:v>0.14529663145135899</c:v>
                  </c:pt>
                  <c:pt idx="3">
                    <c:v>3.3333333333353705E-2</c:v>
                  </c:pt>
                  <c:pt idx="4">
                    <c:v>0.10000000000001374</c:v>
                  </c:pt>
                  <c:pt idx="5">
                    <c:v>0.19999999999999787</c:v>
                  </c:pt>
                  <c:pt idx="6">
                    <c:v>0.43716256828680039</c:v>
                  </c:pt>
                </c:numCache>
              </c:numRef>
            </c:plus>
            <c:minus>
              <c:numRef>
                <c:f>Analysis!$AY$49:$AY$55</c:f>
                <c:numCache>
                  <c:formatCode>General</c:formatCode>
                  <c:ptCount val="7"/>
                  <c:pt idx="0">
                    <c:v>0.65574385243020084</c:v>
                  </c:pt>
                  <c:pt idx="1">
                    <c:v>0.54320294959107474</c:v>
                  </c:pt>
                  <c:pt idx="2">
                    <c:v>0.14529663145135899</c:v>
                  </c:pt>
                  <c:pt idx="3">
                    <c:v>3.3333333333353705E-2</c:v>
                  </c:pt>
                  <c:pt idx="4">
                    <c:v>0.10000000000001374</c:v>
                  </c:pt>
                  <c:pt idx="5">
                    <c:v>0.19999999999999787</c:v>
                  </c:pt>
                  <c:pt idx="6">
                    <c:v>0.43716256828680039</c:v>
                  </c:pt>
                </c:numCache>
              </c:numRef>
            </c:minus>
          </c:errBars>
          <c:cat>
            <c:strRef>
              <c:f>Analysis!$AQ$49:$AQ$55</c:f>
              <c:strCache>
                <c:ptCount val="7"/>
                <c:pt idx="0">
                  <c:v>NONE</c:v>
                </c:pt>
                <c:pt idx="1">
                  <c:v>DAP</c:v>
                </c:pt>
                <c:pt idx="2">
                  <c:v>MRP-DUST</c:v>
                </c:pt>
                <c:pt idx="3">
                  <c:v>MRP-PALLETS</c:v>
                </c:pt>
                <c:pt idx="4">
                  <c:v>TSP</c:v>
                </c:pt>
                <c:pt idx="5">
                  <c:v>TSP/KCL</c:v>
                </c:pt>
                <c:pt idx="6">
                  <c:v>SYMPAL</c:v>
                </c:pt>
              </c:strCache>
            </c:strRef>
          </c:cat>
          <c:val>
            <c:numRef>
              <c:f>Analysis!$AS$49:$AS$55</c:f>
              <c:numCache>
                <c:formatCode>General</c:formatCode>
                <c:ptCount val="7"/>
                <c:pt idx="0">
                  <c:v>4.2</c:v>
                </c:pt>
                <c:pt idx="1">
                  <c:v>4.0583333333333336</c:v>
                </c:pt>
                <c:pt idx="2">
                  <c:v>4.5333333333333332</c:v>
                </c:pt>
                <c:pt idx="3">
                  <c:v>4.7333333333333334</c:v>
                </c:pt>
                <c:pt idx="4">
                  <c:v>4.8999999999999995</c:v>
                </c:pt>
                <c:pt idx="5">
                  <c:v>4.8</c:v>
                </c:pt>
                <c:pt idx="6">
                  <c:v>4.4666666666666668</c:v>
                </c:pt>
              </c:numCache>
            </c:numRef>
          </c:val>
        </c:ser>
        <c:dLbls>
          <c:showLegendKey val="0"/>
          <c:showVal val="0"/>
          <c:showCatName val="0"/>
          <c:showSerName val="0"/>
          <c:showPercent val="0"/>
          <c:showBubbleSize val="0"/>
        </c:dLbls>
        <c:gapWidth val="150"/>
        <c:axId val="179188096"/>
        <c:axId val="179189632"/>
      </c:barChart>
      <c:catAx>
        <c:axId val="179188096"/>
        <c:scaling>
          <c:orientation val="minMax"/>
        </c:scaling>
        <c:delete val="0"/>
        <c:axPos val="b"/>
        <c:numFmt formatCode="General" sourceLinked="1"/>
        <c:majorTickMark val="out"/>
        <c:minorTickMark val="none"/>
        <c:tickLblPos val="nextTo"/>
        <c:crossAx val="179189632"/>
        <c:crosses val="autoZero"/>
        <c:auto val="1"/>
        <c:lblAlgn val="ctr"/>
        <c:lblOffset val="100"/>
        <c:noMultiLvlLbl val="0"/>
      </c:catAx>
      <c:valAx>
        <c:axId val="179189632"/>
        <c:scaling>
          <c:orientation val="minMax"/>
        </c:scaling>
        <c:delete val="0"/>
        <c:axPos val="l"/>
        <c:title>
          <c:tx>
            <c:rich>
              <a:bodyPr rot="-5400000" vert="horz"/>
              <a:lstStyle/>
              <a:p>
                <a:pPr>
                  <a:defRPr/>
                </a:pPr>
                <a:r>
                  <a:rPr lang="en-US"/>
                  <a:t>Soybean nodule score</a:t>
                </a:r>
              </a:p>
            </c:rich>
          </c:tx>
          <c:overlay val="0"/>
        </c:title>
        <c:numFmt formatCode="General" sourceLinked="1"/>
        <c:majorTickMark val="out"/>
        <c:minorTickMark val="none"/>
        <c:tickLblPos val="nextTo"/>
        <c:crossAx val="179188096"/>
        <c:crosses val="autoZero"/>
        <c:crossBetween val="between"/>
      </c:valAx>
    </c:plotArea>
    <c:legend>
      <c:legendPos val="tr"/>
      <c:layout>
        <c:manualLayout>
          <c:xMode val="edge"/>
          <c:yMode val="edge"/>
          <c:x val="0.79040354330708662"/>
          <c:y val="0"/>
          <c:w val="0.20681867891513561"/>
          <c:h val="0.16743438320209975"/>
        </c:manualLayout>
      </c:layout>
      <c:overlay val="1"/>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Analysis!$AQ$24</c:f>
              <c:strCache>
                <c:ptCount val="1"/>
                <c:pt idx="0">
                  <c:v> - inoc</c:v>
                </c:pt>
              </c:strCache>
            </c:strRef>
          </c:tx>
          <c:invertIfNegative val="0"/>
          <c:errBars>
            <c:errBarType val="both"/>
            <c:errValType val="cust"/>
            <c:noEndCap val="0"/>
            <c:plus>
              <c:numRef>
                <c:f>Analysis!$AW$25:$AW$31</c:f>
                <c:numCache>
                  <c:formatCode>General</c:formatCode>
                  <c:ptCount val="7"/>
                  <c:pt idx="0">
                    <c:v>44.404804409993567</c:v>
                  </c:pt>
                  <c:pt idx="1">
                    <c:v>48.606298548855065</c:v>
                  </c:pt>
                  <c:pt idx="2">
                    <c:v>99.037892822479421</c:v>
                  </c:pt>
                  <c:pt idx="3">
                    <c:v>71.938405685186424</c:v>
                  </c:pt>
                  <c:pt idx="4">
                    <c:v>50.810120655367264</c:v>
                  </c:pt>
                  <c:pt idx="5">
                    <c:v>76.231745305582024</c:v>
                  </c:pt>
                  <c:pt idx="6">
                    <c:v>76.652765625466671</c:v>
                  </c:pt>
                </c:numCache>
              </c:numRef>
            </c:plus>
            <c:minus>
              <c:numRef>
                <c:f>Analysis!$AW$25:$AW$31</c:f>
                <c:numCache>
                  <c:formatCode>General</c:formatCode>
                  <c:ptCount val="7"/>
                  <c:pt idx="0">
                    <c:v>44.404804409993567</c:v>
                  </c:pt>
                  <c:pt idx="1">
                    <c:v>48.606298548855065</c:v>
                  </c:pt>
                  <c:pt idx="2">
                    <c:v>99.037892822479421</c:v>
                  </c:pt>
                  <c:pt idx="3">
                    <c:v>71.938405685186424</c:v>
                  </c:pt>
                  <c:pt idx="4">
                    <c:v>50.810120655367264</c:v>
                  </c:pt>
                  <c:pt idx="5">
                    <c:v>76.231745305582024</c:v>
                  </c:pt>
                  <c:pt idx="6">
                    <c:v>76.652765625466671</c:v>
                  </c:pt>
                </c:numCache>
              </c:numRef>
            </c:minus>
          </c:errBars>
          <c:cat>
            <c:strRef>
              <c:f>Analysis!$AP$25:$AP$31</c:f>
              <c:strCache>
                <c:ptCount val="7"/>
                <c:pt idx="0">
                  <c:v>NONE</c:v>
                </c:pt>
                <c:pt idx="1">
                  <c:v>DAP</c:v>
                </c:pt>
                <c:pt idx="2">
                  <c:v>MRP-DUST</c:v>
                </c:pt>
                <c:pt idx="3">
                  <c:v>MRP-PALLETS</c:v>
                </c:pt>
                <c:pt idx="4">
                  <c:v>TSP</c:v>
                </c:pt>
                <c:pt idx="5">
                  <c:v>TSP/KCL</c:v>
                </c:pt>
                <c:pt idx="6">
                  <c:v>SYMPAL</c:v>
                </c:pt>
              </c:strCache>
            </c:strRef>
          </c:cat>
          <c:val>
            <c:numRef>
              <c:f>Analysis!$AQ$25:$AQ$31</c:f>
              <c:numCache>
                <c:formatCode>General</c:formatCode>
                <c:ptCount val="7"/>
                <c:pt idx="0">
                  <c:v>795.03863295458871</c:v>
                </c:pt>
                <c:pt idx="1">
                  <c:v>922.41476110188967</c:v>
                </c:pt>
                <c:pt idx="2">
                  <c:v>1029.9247692146207</c:v>
                </c:pt>
                <c:pt idx="3">
                  <c:v>919.25996964396165</c:v>
                </c:pt>
                <c:pt idx="4">
                  <c:v>994.1695216730983</c:v>
                </c:pt>
                <c:pt idx="5">
                  <c:v>908.43263964909204</c:v>
                </c:pt>
                <c:pt idx="6">
                  <c:v>856.74398860426118</c:v>
                </c:pt>
              </c:numCache>
            </c:numRef>
          </c:val>
        </c:ser>
        <c:ser>
          <c:idx val="1"/>
          <c:order val="1"/>
          <c:tx>
            <c:strRef>
              <c:f>Analysis!$AR$24</c:f>
              <c:strCache>
                <c:ptCount val="1"/>
                <c:pt idx="0">
                  <c:v> + inoc</c:v>
                </c:pt>
              </c:strCache>
            </c:strRef>
          </c:tx>
          <c:invertIfNegative val="0"/>
          <c:errBars>
            <c:errBarType val="both"/>
            <c:errValType val="cust"/>
            <c:noEndCap val="0"/>
            <c:plus>
              <c:numRef>
                <c:f>Analysis!$AX$25:$AX$31</c:f>
                <c:numCache>
                  <c:formatCode>General</c:formatCode>
                  <c:ptCount val="7"/>
                  <c:pt idx="0">
                    <c:v>29.466161326806635</c:v>
                  </c:pt>
                  <c:pt idx="1">
                    <c:v>116.13819262584011</c:v>
                  </c:pt>
                  <c:pt idx="2">
                    <c:v>81.171422530323625</c:v>
                  </c:pt>
                  <c:pt idx="3">
                    <c:v>49.938046407880698</c:v>
                  </c:pt>
                  <c:pt idx="4">
                    <c:v>69.538221317302444</c:v>
                  </c:pt>
                  <c:pt idx="5">
                    <c:v>68.334436536435902</c:v>
                  </c:pt>
                  <c:pt idx="6">
                    <c:v>132.85767149618769</c:v>
                  </c:pt>
                </c:numCache>
              </c:numRef>
            </c:plus>
            <c:minus>
              <c:numRef>
                <c:f>Analysis!$AX$25:$AX$31</c:f>
                <c:numCache>
                  <c:formatCode>General</c:formatCode>
                  <c:ptCount val="7"/>
                  <c:pt idx="0">
                    <c:v>29.466161326806635</c:v>
                  </c:pt>
                  <c:pt idx="1">
                    <c:v>116.13819262584011</c:v>
                  </c:pt>
                  <c:pt idx="2">
                    <c:v>81.171422530323625</c:v>
                  </c:pt>
                  <c:pt idx="3">
                    <c:v>49.938046407880698</c:v>
                  </c:pt>
                  <c:pt idx="4">
                    <c:v>69.538221317302444</c:v>
                  </c:pt>
                  <c:pt idx="5">
                    <c:v>68.334436536435902</c:v>
                  </c:pt>
                  <c:pt idx="6">
                    <c:v>132.85767149618769</c:v>
                  </c:pt>
                </c:numCache>
              </c:numRef>
            </c:minus>
          </c:errBars>
          <c:cat>
            <c:strRef>
              <c:f>Analysis!$AP$25:$AP$31</c:f>
              <c:strCache>
                <c:ptCount val="7"/>
                <c:pt idx="0">
                  <c:v>NONE</c:v>
                </c:pt>
                <c:pt idx="1">
                  <c:v>DAP</c:v>
                </c:pt>
                <c:pt idx="2">
                  <c:v>MRP-DUST</c:v>
                </c:pt>
                <c:pt idx="3">
                  <c:v>MRP-PALLETS</c:v>
                </c:pt>
                <c:pt idx="4">
                  <c:v>TSP</c:v>
                </c:pt>
                <c:pt idx="5">
                  <c:v>TSP/KCL</c:v>
                </c:pt>
                <c:pt idx="6">
                  <c:v>SYMPAL</c:v>
                </c:pt>
              </c:strCache>
            </c:strRef>
          </c:cat>
          <c:val>
            <c:numRef>
              <c:f>Analysis!$AR$25:$AR$31</c:f>
              <c:numCache>
                <c:formatCode>General</c:formatCode>
                <c:ptCount val="7"/>
                <c:pt idx="0">
                  <c:v>644.7717746468237</c:v>
                </c:pt>
                <c:pt idx="1">
                  <c:v>1130.9301786917583</c:v>
                </c:pt>
                <c:pt idx="2">
                  <c:v>1155.4395156970761</c:v>
                </c:pt>
                <c:pt idx="3">
                  <c:v>1079.5458018107386</c:v>
                </c:pt>
                <c:pt idx="4">
                  <c:v>1157.725673089956</c:v>
                </c:pt>
                <c:pt idx="5">
                  <c:v>1056.5789551844696</c:v>
                </c:pt>
                <c:pt idx="6">
                  <c:v>1051.2288910672121</c:v>
                </c:pt>
              </c:numCache>
            </c:numRef>
          </c:val>
        </c:ser>
        <c:dLbls>
          <c:showLegendKey val="0"/>
          <c:showVal val="0"/>
          <c:showCatName val="0"/>
          <c:showSerName val="0"/>
          <c:showPercent val="0"/>
          <c:showBubbleSize val="0"/>
        </c:dLbls>
        <c:gapWidth val="150"/>
        <c:axId val="179248512"/>
        <c:axId val="179291264"/>
      </c:barChart>
      <c:catAx>
        <c:axId val="179248512"/>
        <c:scaling>
          <c:orientation val="minMax"/>
        </c:scaling>
        <c:delete val="0"/>
        <c:axPos val="b"/>
        <c:majorTickMark val="out"/>
        <c:minorTickMark val="none"/>
        <c:tickLblPos val="nextTo"/>
        <c:crossAx val="179291264"/>
        <c:crosses val="autoZero"/>
        <c:auto val="1"/>
        <c:lblAlgn val="ctr"/>
        <c:lblOffset val="100"/>
        <c:noMultiLvlLbl val="0"/>
      </c:catAx>
      <c:valAx>
        <c:axId val="179291264"/>
        <c:scaling>
          <c:orientation val="minMax"/>
        </c:scaling>
        <c:delete val="0"/>
        <c:axPos val="l"/>
        <c:title>
          <c:tx>
            <c:rich>
              <a:bodyPr rot="-5400000" vert="horz"/>
              <a:lstStyle/>
              <a:p>
                <a:pPr>
                  <a:defRPr/>
                </a:pPr>
                <a:r>
                  <a:rPr lang="en-US"/>
                  <a:t>Soybean grain yield (kg/ha)</a:t>
                </a:r>
              </a:p>
            </c:rich>
          </c:tx>
          <c:overlay val="0"/>
        </c:title>
        <c:numFmt formatCode="General" sourceLinked="1"/>
        <c:majorTickMark val="out"/>
        <c:minorTickMark val="none"/>
        <c:tickLblPos val="nextTo"/>
        <c:crossAx val="179248512"/>
        <c:crosses val="autoZero"/>
        <c:crossBetween val="between"/>
      </c:valAx>
    </c:plotArea>
    <c:legend>
      <c:legendPos val="tr"/>
      <c:layout>
        <c:manualLayout>
          <c:xMode val="edge"/>
          <c:yMode val="edge"/>
          <c:x val="0.87905664916885384"/>
          <c:y val="0"/>
          <c:w val="0.1209433508311461"/>
          <c:h val="0.16743438320209975"/>
        </c:manualLayout>
      </c:layout>
      <c:overlay val="1"/>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1258</TotalTime>
  <Pages>28</Pages>
  <Words>2535</Words>
  <Characters>14451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dc:creator>
  <cp:lastModifiedBy>Esther</cp:lastModifiedBy>
  <cp:revision>38</cp:revision>
  <dcterms:created xsi:type="dcterms:W3CDTF">2012-07-24T12:43:00Z</dcterms:created>
  <dcterms:modified xsi:type="dcterms:W3CDTF">2012-08-03T12:19:00Z</dcterms:modified>
</cp:coreProperties>
</file>